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891" w:rsidRPr="005D3B38" w:rsidRDefault="00E30FFB" w:rsidP="005D3B38">
      <w:pPr>
        <w:rPr>
          <w:rFonts w:ascii="ITC New Baskerville Std" w:hAnsi="ITC New Baskerville Std"/>
          <w:b/>
        </w:rPr>
      </w:pPr>
      <w:r w:rsidRPr="005D3B38">
        <w:rPr>
          <w:rFonts w:ascii="ITC New Baskerville Std" w:hAnsi="ITC New Baskerville Std"/>
          <w:b/>
        </w:rPr>
        <w:t xml:space="preserve">CONVENIO DE COLABORACIÓN ENTRE A UNIVERSIDADE DE </w:t>
      </w:r>
      <w:r w:rsidRPr="005D3B38">
        <w:rPr>
          <w:rFonts w:ascii="ITC New Baskerville Std" w:hAnsi="ITC New Baskerville Std"/>
          <w:b/>
          <w:highlight w:val="yellow"/>
        </w:rPr>
        <w:t>XXX</w:t>
      </w:r>
      <w:r w:rsidRPr="005D3B38">
        <w:rPr>
          <w:rFonts w:ascii="ITC New Baskerville Std" w:hAnsi="ITC New Baskerville Std"/>
          <w:b/>
        </w:rPr>
        <w:t xml:space="preserve"> A UNIVERSIDADE DE </w:t>
      </w:r>
      <w:r w:rsidRPr="005D3B38">
        <w:rPr>
          <w:rFonts w:ascii="ITC New Baskerville Std" w:hAnsi="ITC New Baskerville Std"/>
          <w:b/>
          <w:highlight w:val="yellow"/>
        </w:rPr>
        <w:t>XXX</w:t>
      </w:r>
      <w:r w:rsidRPr="005D3B38">
        <w:rPr>
          <w:rFonts w:ascii="ITC New Baskerville Std" w:hAnsi="ITC New Baskerville Std"/>
          <w:b/>
        </w:rPr>
        <w:t xml:space="preserve">, E A UNIVERSIDADE DE </w:t>
      </w:r>
      <w:r w:rsidRPr="005D3B38">
        <w:rPr>
          <w:rFonts w:ascii="ITC New Baskerville Std" w:hAnsi="ITC New Baskerville Std"/>
          <w:b/>
          <w:highlight w:val="yellow"/>
        </w:rPr>
        <w:t>XXX</w:t>
      </w:r>
      <w:r w:rsidRPr="005D3B38">
        <w:rPr>
          <w:rFonts w:ascii="ITC New Baskerville Std" w:hAnsi="ITC New Baskerville Std"/>
          <w:b/>
        </w:rPr>
        <w:t xml:space="preserve"> PARA LEVAR A CABO, CONXUNTAMENTE, A ORGANIZACIÓN E DESENVOLVEMENTO DAS ENSINANZAS OFICIAIS DO PROGRAMA DE DOUTORAMENTO "</w:t>
      </w:r>
      <w:r w:rsidRPr="005D3B38">
        <w:rPr>
          <w:rFonts w:ascii="ITC New Baskerville Std" w:hAnsi="ITC New Baskerville Std"/>
          <w:b/>
          <w:highlight w:val="yellow"/>
        </w:rPr>
        <w:t>XXXXXXXX</w:t>
      </w:r>
      <w:r w:rsidRPr="005D3B38">
        <w:rPr>
          <w:rFonts w:ascii="ITC New Baskerville Std" w:hAnsi="ITC New Baskerville Std"/>
          <w:b/>
        </w:rPr>
        <w:t xml:space="preserve">" </w:t>
      </w:r>
    </w:p>
    <w:p w:rsidR="00E30FFB" w:rsidRPr="005D3B38" w:rsidRDefault="00E30FFB" w:rsidP="00044A9E">
      <w:pPr>
        <w:jc w:val="left"/>
        <w:rPr>
          <w:rFonts w:ascii="ITC New Baskerville Std" w:hAnsi="ITC New Baskerville Std"/>
          <w:b/>
        </w:rPr>
      </w:pPr>
    </w:p>
    <w:p w:rsidR="00A477E8" w:rsidRPr="00A477E8" w:rsidRDefault="00A477E8" w:rsidP="00A477E8">
      <w:pPr>
        <w:rPr>
          <w:rFonts w:ascii="ITC New Baskerville Std" w:hAnsi="ITC New Baskerville Std"/>
        </w:rPr>
      </w:pPr>
      <w:r w:rsidRPr="00A477E8">
        <w:rPr>
          <w:rFonts w:ascii="ITC New Baskerville Std" w:hAnsi="ITC New Baskerville Std"/>
        </w:rPr>
        <w:t xml:space="preserve">Vigo, na data da última sinatura electrónica     </w:t>
      </w:r>
    </w:p>
    <w:p w:rsidR="000C2891" w:rsidRPr="005D3B38" w:rsidRDefault="000C2891" w:rsidP="00044A9E">
      <w:pPr>
        <w:jc w:val="left"/>
        <w:rPr>
          <w:rFonts w:ascii="ITC New Baskerville Std" w:hAnsi="ITC New Baskerville Std"/>
        </w:rPr>
      </w:pPr>
    </w:p>
    <w:p w:rsidR="00412F06" w:rsidRPr="005D3B38" w:rsidRDefault="00412F06" w:rsidP="00044A9E">
      <w:pPr>
        <w:jc w:val="left"/>
        <w:rPr>
          <w:rFonts w:ascii="ITC New Baskerville Std" w:hAnsi="ITC New Baskerville Std"/>
        </w:rPr>
      </w:pPr>
    </w:p>
    <w:p w:rsidR="00412F06" w:rsidRPr="005D3B38" w:rsidRDefault="00E30FFB" w:rsidP="00044A9E">
      <w:pPr>
        <w:pBdr>
          <w:top w:val="single" w:sz="4" w:space="1" w:color="auto"/>
        </w:pBdr>
        <w:jc w:val="left"/>
        <w:rPr>
          <w:rFonts w:ascii="ITC New Baskerville Std" w:hAnsi="ITC New Baskerville Std"/>
          <w:i/>
          <w:sz w:val="24"/>
        </w:rPr>
      </w:pPr>
      <w:r w:rsidRPr="005D3B38">
        <w:rPr>
          <w:rFonts w:ascii="ITC New Baskerville Std" w:hAnsi="ITC New Baskerville Std"/>
          <w:i/>
          <w:sz w:val="24"/>
        </w:rPr>
        <w:t>Reunidos</w:t>
      </w:r>
    </w:p>
    <w:p w:rsidR="00412F06" w:rsidRPr="005D3B38" w:rsidRDefault="00412F06" w:rsidP="00697521">
      <w:pPr>
        <w:rPr>
          <w:rFonts w:ascii="ITC New Baskerville Std" w:hAnsi="ITC New Baskerville Std"/>
        </w:rPr>
      </w:pPr>
      <w:r w:rsidRPr="005D3B38">
        <w:rPr>
          <w:rFonts w:ascii="ITC New Baskerville Std" w:hAnsi="ITC New Baskerville Std"/>
          <w:b/>
        </w:rPr>
        <w:t>Dunha parte</w:t>
      </w:r>
      <w:r w:rsidRPr="005D3B38">
        <w:rPr>
          <w:rFonts w:ascii="ITC New Baskerville Std" w:hAnsi="ITC New Baskerville Std"/>
        </w:rPr>
        <w:t>, D. Xosé Luís Armesto Barbeito, Reitor Magnífico da Universidade da Coruña, cargo que ostenta en virtude do nomeamento efectuado segundo o Decreto 251/2011 del 29 de decembro (DOG nº 8, del 12 de xaneiro de 2012), no exercicio das competencias que lle outorga o artigo 20 de la Lei Orgánica de Universidades 6/2001, de 21 de decembro (BOE do 24 de decembro de 2001).</w:t>
      </w:r>
    </w:p>
    <w:p w:rsidR="00412F06" w:rsidRPr="005D3B38" w:rsidRDefault="00412F06" w:rsidP="00697521">
      <w:pPr>
        <w:rPr>
          <w:rFonts w:ascii="ITC New Baskerville Std" w:hAnsi="ITC New Baskerville Std"/>
        </w:rPr>
      </w:pPr>
      <w:r w:rsidRPr="005D3B38">
        <w:rPr>
          <w:rFonts w:ascii="ITC New Baskerville Std" w:hAnsi="ITC New Baskerville Std"/>
          <w:b/>
        </w:rPr>
        <w:t>Doutra parte</w:t>
      </w:r>
      <w:r w:rsidRPr="005D3B38">
        <w:rPr>
          <w:rFonts w:ascii="ITC New Baskerville Std" w:hAnsi="ITC New Baskerville Std"/>
        </w:rPr>
        <w:t xml:space="preserve">, D. </w:t>
      </w:r>
      <w:r w:rsidR="000D53F7">
        <w:rPr>
          <w:rFonts w:ascii="ITC New Baskerville Std" w:hAnsi="ITC New Baskerville Std"/>
        </w:rPr>
        <w:t>Antonio López Díaz</w:t>
      </w:r>
      <w:r w:rsidRPr="005D3B38">
        <w:rPr>
          <w:rFonts w:ascii="ITC New Baskerville Std" w:hAnsi="ITC New Baskerville Std"/>
        </w:rPr>
        <w:t>, Reitor Magnífico da Universidade de Santiago de Compostela, cargo que ostenta en virtude do nomeament</w:t>
      </w:r>
      <w:r w:rsidR="000D53F7">
        <w:rPr>
          <w:rFonts w:ascii="ITC New Baskerville Std" w:hAnsi="ITC New Baskerville Std"/>
        </w:rPr>
        <w:t>o efectuado segundo o Decreto 57/2018 de 31 de maio de 2018</w:t>
      </w:r>
      <w:r w:rsidRPr="005D3B38">
        <w:rPr>
          <w:rFonts w:ascii="ITC New Baskerville Std" w:hAnsi="ITC New Baskerville Std"/>
        </w:rPr>
        <w:t>,</w:t>
      </w:r>
      <w:r w:rsidR="000D53F7">
        <w:rPr>
          <w:rFonts w:ascii="ITC New Baskerville Std" w:hAnsi="ITC New Baskerville Std"/>
        </w:rPr>
        <w:t xml:space="preserve"> da Xunta de Galicia (DOG nº 106, de 5 de xuño de 2018</w:t>
      </w:r>
      <w:r w:rsidRPr="005D3B38">
        <w:rPr>
          <w:rFonts w:ascii="ITC New Baskerville Std" w:hAnsi="ITC New Baskerville Std"/>
        </w:rPr>
        <w:t>), no exercicio das competencias que lle outorga o artigo 20 da Lei Orgánica de Universidades 6/2001, de 21 de decembro (BOE do 24 de decembro de 2001) e no artigo  87 dos Estatutos  desta Universidade, aprobados por Decreto 28/2004 de 22 de xaneiro da Xunta de Galicia (DOG nº 27 de 9 de febreiro de 2004).</w:t>
      </w:r>
    </w:p>
    <w:p w:rsidR="00412F06" w:rsidRPr="005D3B38" w:rsidRDefault="00412F06" w:rsidP="00697521">
      <w:pPr>
        <w:rPr>
          <w:rFonts w:ascii="ITC New Baskerville Std" w:hAnsi="ITC New Baskerville Std"/>
        </w:rPr>
      </w:pPr>
      <w:r w:rsidRPr="005D3B38">
        <w:rPr>
          <w:rFonts w:ascii="ITC New Baskerville Std" w:hAnsi="ITC New Baskerville Std"/>
          <w:b/>
        </w:rPr>
        <w:t>Doutra parte</w:t>
      </w:r>
      <w:r w:rsidRPr="005D3B38">
        <w:rPr>
          <w:rFonts w:ascii="ITC New Baskerville Std" w:hAnsi="ITC New Baskerville Std"/>
        </w:rPr>
        <w:t xml:space="preserve">, </w:t>
      </w:r>
      <w:r w:rsidR="00BD245E" w:rsidRPr="00BD245E">
        <w:rPr>
          <w:rFonts w:ascii="ITC New Baskerville Std" w:hAnsi="ITC New Baskerville Std"/>
        </w:rPr>
        <w:t xml:space="preserve">D. Manuel </w:t>
      </w:r>
      <w:proofErr w:type="spellStart"/>
      <w:r w:rsidR="00BD245E" w:rsidRPr="00BD245E">
        <w:rPr>
          <w:rFonts w:ascii="ITC New Baskerville Std" w:hAnsi="ITC New Baskerville Std"/>
        </w:rPr>
        <w:t>Joaquín</w:t>
      </w:r>
      <w:proofErr w:type="spellEnd"/>
      <w:r w:rsidR="00BD245E" w:rsidRPr="00BD245E">
        <w:rPr>
          <w:rFonts w:ascii="ITC New Baskerville Std" w:hAnsi="ITC New Baskerville Std"/>
        </w:rPr>
        <w:t xml:space="preserve"> </w:t>
      </w:r>
      <w:proofErr w:type="spellStart"/>
      <w:r w:rsidR="00BD245E" w:rsidRPr="00BD245E">
        <w:rPr>
          <w:rFonts w:ascii="ITC New Baskerville Std" w:hAnsi="ITC New Baskerville Std"/>
        </w:rPr>
        <w:t>Reigosa</w:t>
      </w:r>
      <w:proofErr w:type="spellEnd"/>
      <w:r w:rsidR="00BD245E" w:rsidRPr="00BD245E">
        <w:rPr>
          <w:rFonts w:ascii="ITC New Baskerville Std" w:hAnsi="ITC New Baskerville Std"/>
        </w:rPr>
        <w:t xml:space="preserve"> </w:t>
      </w:r>
      <w:proofErr w:type="spellStart"/>
      <w:r w:rsidR="00BD245E" w:rsidRPr="00BD245E">
        <w:rPr>
          <w:rFonts w:ascii="ITC New Baskerville Std" w:hAnsi="ITC New Baskerville Std"/>
        </w:rPr>
        <w:t>Roger</w:t>
      </w:r>
      <w:proofErr w:type="spellEnd"/>
      <w:r w:rsidR="00BD245E" w:rsidRPr="00BD245E">
        <w:rPr>
          <w:rFonts w:ascii="ITC New Baskerville Std" w:hAnsi="ITC New Baskerville Std"/>
        </w:rPr>
        <w:t xml:space="preserve">, Reitor Magnífico da Universidade de Vigo, nomeado segundo o Decreto da Comunidade Autónoma de Galicia 59/2018, do 31 de maio, publicado no Diario Oficial de Galicia (DOG) nº 109, do 8 de xuño de 2018, de acordo coas competencias que lle outorga o </w:t>
      </w:r>
      <w:r w:rsidR="00BD245E" w:rsidRPr="00BD245E">
        <w:rPr>
          <w:rFonts w:ascii="ITC New Baskerville Std" w:hAnsi="ITC New Baskerville Std"/>
        </w:rPr>
        <w:lastRenderedPageBreak/>
        <w:t xml:space="preserve">artigo 20 da Lei orgánica 6/2001, do 21 de decembro, de Universidades, e o artigo 29 dos Estatutos da Universidade de Vigo, aprobados polo Decreto 13/2019, do 24 de xaneiro, e publicados no DOG nº 38, do 22 de febreiro do 2019. Con enderezo en Edificio </w:t>
      </w:r>
      <w:proofErr w:type="spellStart"/>
      <w:r w:rsidR="00BD245E" w:rsidRPr="00BD245E">
        <w:rPr>
          <w:rFonts w:ascii="ITC New Baskerville Std" w:hAnsi="ITC New Baskerville Std"/>
        </w:rPr>
        <w:t>Exeria</w:t>
      </w:r>
      <w:proofErr w:type="spellEnd"/>
      <w:r w:rsidR="00BD245E" w:rsidRPr="00BD245E">
        <w:rPr>
          <w:rFonts w:ascii="ITC New Baskerville Std" w:hAnsi="ITC New Baskerville Std"/>
        </w:rPr>
        <w:t>, campus universitario, 36310 Vigo</w:t>
      </w:r>
    </w:p>
    <w:p w:rsidR="00412F06" w:rsidRPr="005D3B38" w:rsidRDefault="00E30FFB" w:rsidP="00044A9E">
      <w:pPr>
        <w:pBdr>
          <w:top w:val="single" w:sz="4" w:space="1" w:color="auto"/>
        </w:pBdr>
        <w:jc w:val="left"/>
        <w:rPr>
          <w:rFonts w:ascii="ITC New Baskerville Std" w:hAnsi="ITC New Baskerville Std"/>
          <w:i/>
          <w:sz w:val="24"/>
        </w:rPr>
      </w:pPr>
      <w:r w:rsidRPr="005D3B38">
        <w:rPr>
          <w:rFonts w:ascii="ITC New Baskerville Std" w:hAnsi="ITC New Baskerville Std"/>
          <w:i/>
          <w:sz w:val="24"/>
        </w:rPr>
        <w:t>Expoñen</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Que o artigo 2 da Lei Orgánica 6/2001, de 21 de decembro, de Universidades, modificada pola Lei Orgánica 4/2007, de 12 de abril, establece que a autonomía das Universidades comprende, entre outros "o establecemento de relacións con outras Entidades para a promoción e desenvolvemento dos seus fins institucionais".</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Que o Real Decreto 99/2011, de 28 de xaneiro, polo que se regulan as ensinanzas oficiais de doutoramento do sistema universitario español, prevé no seu artigo  8.1 que "a Universidade, de acordo co que estableza a súa normativa, definirá a súa estratexia en materia de investigación e de formación doutoral que se articulará a través de Programas de Doutoramento desenvolvidos en Escolas de Doutoramento ou en outras unidades competentes en materia de investigación, de acordo co establecido nos estatutos da Universidade, nos respectivos convenios de colaboración e neste Real Decreto".</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 xml:space="preserve">Que o artigo 8.2 do mesmo Real Decreto recolle que "a citada estratexia contará preferentemente con aliados externos para a súa posta en marcha en virtude de complementariedades, </w:t>
      </w:r>
      <w:proofErr w:type="spellStart"/>
      <w:r w:rsidRPr="005D3B38">
        <w:rPr>
          <w:rFonts w:ascii="ITC New Baskerville Std" w:hAnsi="ITC New Baskerville Std"/>
        </w:rPr>
        <w:t>compartición</w:t>
      </w:r>
      <w:proofErr w:type="spellEnd"/>
      <w:r w:rsidRPr="005D3B38">
        <w:rPr>
          <w:rFonts w:ascii="ITC New Baskerville Std" w:hAnsi="ITC New Baskerville Std"/>
        </w:rPr>
        <w:t xml:space="preserve"> de excelencia ou </w:t>
      </w:r>
      <w:proofErr w:type="spellStart"/>
      <w:r w:rsidRPr="005D3B38">
        <w:rPr>
          <w:rFonts w:ascii="ITC New Baskerville Std" w:hAnsi="ITC New Baskerville Std"/>
        </w:rPr>
        <w:t>sinerxias</w:t>
      </w:r>
      <w:proofErr w:type="spellEnd"/>
      <w:r w:rsidRPr="005D3B38">
        <w:rPr>
          <w:rFonts w:ascii="ITC New Baskerville Std" w:hAnsi="ITC New Baskerville Std"/>
        </w:rPr>
        <w:t xml:space="preserve"> coas estratexias de I+D de outras Institucións. Neste senso, os programas de doutoramento poden levarse a cabo de forma conxunta entre varias Universidades e contar coa colaboración, expresada mediante un convenio, doutros organismos, centros, Institucións e Entidades con actividades de </w:t>
      </w:r>
      <w:proofErr w:type="spellStart"/>
      <w:r w:rsidRPr="005D3B38">
        <w:rPr>
          <w:rFonts w:ascii="ITC New Baskerville Std" w:hAnsi="ITC New Baskerville Std"/>
        </w:rPr>
        <w:t>I+D+i</w:t>
      </w:r>
      <w:proofErr w:type="spellEnd"/>
      <w:r w:rsidRPr="005D3B38">
        <w:rPr>
          <w:rFonts w:ascii="ITC New Baskerville Std" w:hAnsi="ITC New Baskerville Std"/>
        </w:rPr>
        <w:t>, públicos ou privados, nacionais ou estranxeiros".</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 xml:space="preserve">Que a Universidade da Coruña (en adiante UDC), con sede na calle </w:t>
      </w:r>
      <w:proofErr w:type="spellStart"/>
      <w:r w:rsidRPr="005D3B38">
        <w:rPr>
          <w:rFonts w:ascii="ITC New Baskerville Std" w:hAnsi="ITC New Baskerville Std"/>
        </w:rPr>
        <w:t>Maestranza</w:t>
      </w:r>
      <w:proofErr w:type="spellEnd"/>
      <w:r w:rsidRPr="005D3B38">
        <w:rPr>
          <w:rFonts w:ascii="ITC New Baskerville Std" w:hAnsi="ITC New Baskerville Std"/>
        </w:rPr>
        <w:t xml:space="preserve"> 9, A Coruña, e CIF Q6550005-J, de acordo cos seus Estatutos, é unha institución de dereito público dotada de personalidade  xurídica e  patrimonio propio, para a consecución dos seus fins e o desenvolvemento  das súas funcións, que goza de autonomía de acordo co artigo 27.10 da Constitución e la Lei Orgánica 6/2001, de 21 de decembro, de Universidades (LOU).</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lastRenderedPageBreak/>
        <w:t>Que a Universidade de Santiago de Compostela (en adiante USC), con sede no Pazo de San Xerome, Praza do Obradoiro de Santiago de Compostela, e CIF 1S18001-A, de acordo cos seus Estatutos, é unha institución de dereito público dotada de personalidade  xurídica e patrimonio propio, para a consecución dos seus fins e o desenvolvemento das súas funcións, que goza de autonomía de acordo co artigo  27.10 da Constitución e a Lei Orgánica 6/2001, de 21 de decembro, de Universidades (LOU).</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Que a Universidade de Vigo (en adiante UVIGO), con sede no Campus de Vigo, 36310 Vigo, e CIF Q86S0002-B, de acordo cos seus Estatutos, é unha institución de dereito público dotada de personalidade xurídica e patrimonio propio, para a consecución dos seus fins e o desenvolvemento das súas funcións, que goza de autonomía de acordo co artigo 27.10 da Constitución e a Lei Orgánica 6/2001, de 21 de decembro, de Universidades (LOU).</w:t>
      </w:r>
    </w:p>
    <w:p w:rsidR="00DA6710" w:rsidRPr="005D3B38" w:rsidRDefault="00412F06" w:rsidP="00697521">
      <w:pPr>
        <w:rPr>
          <w:rFonts w:ascii="ITC New Baskerville Std" w:hAnsi="ITC New Baskerville Std"/>
        </w:rPr>
      </w:pPr>
      <w:r w:rsidRPr="005D3B38">
        <w:rPr>
          <w:rFonts w:ascii="ITC New Baskerville Std" w:hAnsi="ITC New Baskerville Std"/>
        </w:rPr>
        <w:t xml:space="preserve">Tendo en conta as anteriores manifestacións, as partes implicadas recoñécense mutuamente a capacidade legal necesaria para </w:t>
      </w:r>
      <w:proofErr w:type="spellStart"/>
      <w:r w:rsidRPr="005D3B38">
        <w:rPr>
          <w:rFonts w:ascii="ITC New Baskerville Std" w:hAnsi="ITC New Baskerville Std"/>
        </w:rPr>
        <w:t>suscribir</w:t>
      </w:r>
      <w:proofErr w:type="spellEnd"/>
      <w:r w:rsidRPr="005D3B38">
        <w:rPr>
          <w:rFonts w:ascii="ITC New Baskerville Std" w:hAnsi="ITC New Baskerville Std"/>
        </w:rPr>
        <w:t xml:space="preserve"> o presente convenio, de acordo coas seguintes</w:t>
      </w:r>
      <w:r w:rsidR="00DA6710" w:rsidRPr="005D3B38">
        <w:rPr>
          <w:rFonts w:ascii="ITC New Baskerville Std" w:hAnsi="ITC New Baskerville Std"/>
        </w:rPr>
        <w:t xml:space="preserve"> cláusulas.</w:t>
      </w:r>
      <w:r w:rsidR="00DA6710" w:rsidRPr="005D3B38">
        <w:rPr>
          <w:rFonts w:ascii="ITC New Baskerville Std" w:hAnsi="ITC New Baskerville Std"/>
        </w:rPr>
        <w:br/>
      </w:r>
    </w:p>
    <w:p w:rsidR="00412F06" w:rsidRPr="005D3B38" w:rsidRDefault="00044A9E" w:rsidP="00044A9E">
      <w:pPr>
        <w:pBdr>
          <w:top w:val="single" w:sz="2" w:space="1" w:color="auto"/>
        </w:pBdr>
        <w:jc w:val="left"/>
        <w:rPr>
          <w:rFonts w:ascii="ITC New Baskerville Std" w:hAnsi="ITC New Baskerville Std"/>
          <w:i/>
          <w:sz w:val="24"/>
        </w:rPr>
      </w:pPr>
      <w:r w:rsidRPr="005D3B38">
        <w:rPr>
          <w:rFonts w:ascii="ITC New Baskerville Std" w:hAnsi="ITC New Baskerville Std"/>
          <w:i/>
          <w:sz w:val="24"/>
        </w:rPr>
        <w:t>Cláusulas</w:t>
      </w:r>
    </w:p>
    <w:p w:rsidR="00412F06" w:rsidRPr="005D3B38" w:rsidRDefault="00412F06" w:rsidP="00697521">
      <w:pPr>
        <w:pStyle w:val="Ttulo1"/>
        <w:rPr>
          <w:rFonts w:ascii="ITC New Baskerville Std" w:hAnsi="ITC New Baskerville Std"/>
        </w:rPr>
      </w:pPr>
      <w:r w:rsidRPr="005D3B38">
        <w:rPr>
          <w:rFonts w:ascii="ITC New Baskerville Std" w:hAnsi="ITC New Baskerville Std"/>
        </w:rPr>
        <w:t>PRIMEIRA.- Obxecto</w:t>
      </w:r>
    </w:p>
    <w:p w:rsidR="00412F06" w:rsidRPr="005D3B38" w:rsidRDefault="00412F06" w:rsidP="00697521">
      <w:pPr>
        <w:rPr>
          <w:rFonts w:ascii="ITC New Baskerville Std" w:hAnsi="ITC New Baskerville Std"/>
        </w:rPr>
      </w:pPr>
      <w:r w:rsidRPr="005D3B38">
        <w:rPr>
          <w:rFonts w:ascii="ITC New Baskerville Std" w:hAnsi="ITC New Baskerville Std"/>
        </w:rPr>
        <w:t xml:space="preserve">O obxecto deste convenio é regular a colaboración entre as universidades asinantes para organizar, desenvolver e implantar, de modo conxunto, con plena igualdade de dereitos e obrigas, as ensinanzas oficiais do Programa de Doutoramento </w:t>
      </w:r>
      <w:r w:rsidRPr="005D3B38">
        <w:rPr>
          <w:rFonts w:ascii="ITC New Baskerville Std" w:hAnsi="ITC New Baskerville Std"/>
          <w:highlight w:val="yellow"/>
        </w:rPr>
        <w:t>XXXXXXX</w:t>
      </w:r>
    </w:p>
    <w:p w:rsidR="00412F06" w:rsidRPr="005D3B38" w:rsidRDefault="00412F06" w:rsidP="00697521">
      <w:pPr>
        <w:pStyle w:val="Ttulo1"/>
        <w:rPr>
          <w:rFonts w:ascii="ITC New Baskerville Std" w:hAnsi="ITC New Baskerville Std"/>
        </w:rPr>
      </w:pPr>
      <w:r w:rsidRPr="005D3B38">
        <w:rPr>
          <w:rFonts w:ascii="ITC New Baskerville Std" w:hAnsi="ITC New Baskerville Std"/>
        </w:rPr>
        <w:t>SEGUNDA.- Coordinación do Programa de Doutoramento.</w:t>
      </w:r>
    </w:p>
    <w:p w:rsidR="00412F06" w:rsidRPr="005D3B38" w:rsidRDefault="00412F06" w:rsidP="00697521">
      <w:pPr>
        <w:rPr>
          <w:rFonts w:ascii="ITC New Baskerville Std" w:hAnsi="ITC New Baskerville Std"/>
        </w:rPr>
      </w:pPr>
      <w:r w:rsidRPr="005D3B38">
        <w:rPr>
          <w:rFonts w:ascii="ITC New Baskerville Std" w:hAnsi="ITC New Baskerville Std"/>
        </w:rPr>
        <w:t xml:space="preserve">A Universidade de </w:t>
      </w:r>
      <w:r w:rsidRPr="005D3B38">
        <w:rPr>
          <w:rFonts w:ascii="ITC New Baskerville Std" w:hAnsi="ITC New Baskerville Std"/>
          <w:highlight w:val="yellow"/>
        </w:rPr>
        <w:t>XXXX</w:t>
      </w:r>
      <w:r w:rsidRPr="005D3B38">
        <w:rPr>
          <w:rFonts w:ascii="ITC New Baskerville Std" w:hAnsi="ITC New Baskerville Std"/>
        </w:rPr>
        <w:t xml:space="preserve"> actuará como coordinadora do Programa de Doutoramento. No caso de que se produza un cambio da Universidade coordinadora, a Universidade designada como nova coordinadora dun título conxunto, xa verificado e autorizado, responsabilizarase de comunicar á Comunidade Autónoma e ao Consello de Universidades a súa designación como coordinadora do programa de doutoramento segundo os procedementos establecidos ao efecto</w:t>
      </w:r>
      <w:r w:rsidRPr="005D3B38">
        <w:rPr>
          <w:rFonts w:ascii="ITC New Baskerville Std" w:hAnsi="ITC New Baskerville Std"/>
          <w:spacing w:val="-3"/>
        </w:rPr>
        <w:t>.</w:t>
      </w:r>
    </w:p>
    <w:p w:rsidR="00412F06" w:rsidRPr="005D3B38" w:rsidRDefault="00412F06" w:rsidP="00697521">
      <w:pPr>
        <w:rPr>
          <w:rFonts w:ascii="ITC New Baskerville Std" w:hAnsi="ITC New Baskerville Std"/>
        </w:rPr>
      </w:pPr>
      <w:r w:rsidRPr="005D3B38">
        <w:rPr>
          <w:rFonts w:ascii="ITC New Baskerville Std" w:hAnsi="ITC New Baskerville Std"/>
        </w:rPr>
        <w:t>É competencia e responsabilidade da universidade Coordinadora asumir as seguintes funcións, ademais das que figuren no presente convenio de colaboración do programa:</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 xml:space="preserve">Coordinar o proceso de elaboración e aprobación do Programa de Doutoramento tratando de asegurar a participación </w:t>
      </w:r>
      <w:proofErr w:type="spellStart"/>
      <w:r w:rsidRPr="005D3B38">
        <w:rPr>
          <w:rFonts w:ascii="ITC New Baskerville Std" w:hAnsi="ITC New Baskerville Std"/>
        </w:rPr>
        <w:t>proactiva</w:t>
      </w:r>
      <w:proofErr w:type="spellEnd"/>
      <w:r w:rsidRPr="005D3B38">
        <w:rPr>
          <w:rFonts w:ascii="ITC New Baskerville Std" w:hAnsi="ITC New Baskerville Std"/>
        </w:rPr>
        <w:t xml:space="preserve"> e equilibrada das universidades participantes. </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Realizar as xestións e trámites administrativos en relación ao procedemento de autorización ante a Comunidade Autónoma e verificación ante o Consello de Universidades, así como informar ás universidades participantes do estado dos citados procedementos.</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Promover o convenio de colaboración do Programa de Doutoramento e o regulamento de Réxime Interno da Comisión Académica do Programa de Doutoramento (en adiante  CAPD).</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 xml:space="preserve">Remitir ás universidades participantes os informes de avaliación e/ou autorización emitidos por ACSUG, polo departamento competente en materia de universidades da comunidade autónoma e polo Consello de Universidades, así como os documentos que conformen a memoria do programa unha vez autorizado e verificado o mesmo. </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Coordinar os procedementos de seguimento e renovación da acreditación do Programa de Doutoramento.</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Coordinar, de ser o caso, o procedemento de modificación e/ou extinción do Programa de Doutoramento</w:t>
      </w:r>
    </w:p>
    <w:p w:rsidR="00412F06" w:rsidRPr="005D3B38" w:rsidRDefault="00412F06" w:rsidP="00697521">
      <w:pPr>
        <w:pStyle w:val="Ttulo1"/>
        <w:rPr>
          <w:rFonts w:ascii="ITC New Baskerville Std" w:hAnsi="ITC New Baskerville Std"/>
        </w:rPr>
      </w:pPr>
      <w:r w:rsidRPr="005D3B38">
        <w:rPr>
          <w:rFonts w:ascii="ITC New Baskerville Std" w:hAnsi="ITC New Baskerville Std"/>
        </w:rPr>
        <w:t>TERCEIRA. Comisión Académica do Programa de Doutoramento</w:t>
      </w:r>
    </w:p>
    <w:p w:rsidR="00412F06" w:rsidRPr="005D3B38" w:rsidRDefault="00412F06" w:rsidP="00697521">
      <w:pPr>
        <w:rPr>
          <w:rFonts w:ascii="ITC New Baskerville Std" w:hAnsi="ITC New Baskerville Std"/>
        </w:rPr>
      </w:pPr>
      <w:r w:rsidRPr="005D3B38">
        <w:rPr>
          <w:rFonts w:ascii="ITC New Baskerville Std" w:hAnsi="ITC New Baskerville Std"/>
        </w:rPr>
        <w:t>O órgano responsable da organización, deseño, coordinación e seguimento das actividades de formación e investigación do programa de doutoramento é a CAPD.</w:t>
      </w:r>
    </w:p>
    <w:p w:rsidR="00412F06" w:rsidRPr="005D3B38" w:rsidRDefault="00412F06" w:rsidP="00697521">
      <w:pPr>
        <w:rPr>
          <w:rFonts w:ascii="ITC New Baskerville Std" w:hAnsi="ITC New Baskerville Std"/>
        </w:rPr>
      </w:pPr>
      <w:r w:rsidRPr="005D3B38">
        <w:rPr>
          <w:rFonts w:ascii="ITC New Baskerville Std" w:hAnsi="ITC New Baskerville Std"/>
          <w:color w:val="000000"/>
        </w:rPr>
        <w:t xml:space="preserve">A composición da CAPD </w:t>
      </w:r>
      <w:r w:rsidRPr="005D3B38">
        <w:rPr>
          <w:rFonts w:ascii="ITC New Baskerville Std" w:hAnsi="ITC New Baskerville Std"/>
        </w:rPr>
        <w:t>será designada por acordo entre os reitores das universidades participantes e rexerase por un Regulamento de Réxime Interno que contará co prace de todas as universidades asinantes do presente convenio</w:t>
      </w:r>
      <w:r w:rsidRPr="005D3B38">
        <w:rPr>
          <w:rFonts w:ascii="ITC New Baskerville Std" w:hAnsi="ITC New Baskerville Std"/>
          <w:color w:val="000000"/>
          <w:szCs w:val="20"/>
        </w:rPr>
        <w:t>.</w:t>
      </w:r>
    </w:p>
    <w:p w:rsidR="00412F06" w:rsidRPr="005D3B38" w:rsidRDefault="00412F06" w:rsidP="00697521">
      <w:pPr>
        <w:rPr>
          <w:rFonts w:ascii="ITC New Baskerville Std" w:hAnsi="ITC New Baskerville Std"/>
        </w:rPr>
      </w:pPr>
      <w:r w:rsidRPr="005D3B38">
        <w:rPr>
          <w:rFonts w:ascii="ITC New Baskerville Std" w:hAnsi="ITC New Baskerville Std"/>
        </w:rPr>
        <w:t xml:space="preserve">A composición da CAPD deberá contar coa presenza equilibrada de representantes das universidades asinantes do convenio e estará integrada por doutores con vinculación permanente coas universidades asinantes do convenio e dedicación a tempo completo, en posesión de polo menos un período de actividade investigadora recoñecida de acordo ao RD 1986/1989. No caso de programas de doutoramento que conten coa colaboración doutros organismos, centros, institucións e entidades con actividades de </w:t>
      </w:r>
      <w:proofErr w:type="spellStart"/>
      <w:r w:rsidRPr="005D3B38">
        <w:rPr>
          <w:rFonts w:ascii="ITC New Baskerville Std" w:hAnsi="ITC New Baskerville Std"/>
        </w:rPr>
        <w:t>I+D+i</w:t>
      </w:r>
      <w:proofErr w:type="spellEnd"/>
      <w:r w:rsidRPr="005D3B38">
        <w:rPr>
          <w:rFonts w:ascii="ITC New Baskerville Std" w:hAnsi="ITC New Baskerville Std"/>
        </w:rPr>
        <w:t>, públicos, privados, nacionais ou estranxeiros, poderán formar parte da CAPD investigadores vinculados aos devanditos organismos, sempre que acrediten cumprir os mesmos requisitos que os investigadores adscritos á universidade ou méritos equiparables no caso de que non resulte de aplicación a posesión do período de actividade investigadora. A totalidade dos membros da CAPD deberá constar como profesor asign</w:t>
      </w:r>
      <w:r w:rsidR="00BD5AA0">
        <w:rPr>
          <w:rFonts w:ascii="ITC New Baskerville Std" w:hAnsi="ITC New Baskerville Std"/>
        </w:rPr>
        <w:t>ado ao Programa de Doutoramento.</w:t>
      </w:r>
    </w:p>
    <w:p w:rsidR="00412F06" w:rsidRPr="005D3B38" w:rsidRDefault="00412F06" w:rsidP="00697521">
      <w:pPr>
        <w:rPr>
          <w:rFonts w:ascii="ITC New Baskerville Std" w:hAnsi="ITC New Baskerville Std"/>
        </w:rPr>
      </w:pPr>
      <w:r w:rsidRPr="005D3B38">
        <w:rPr>
          <w:rFonts w:ascii="ITC New Baskerville Std" w:hAnsi="ITC New Baskerville Std"/>
        </w:rPr>
        <w:t>Actuará como Presidente da CAPD o coordinador do programa e un dos membros da CAPD actuará de Secretario, ao obxecto de dar fe dos acordos adoptados pola comisión e levantar acta das sesións da CAPD.</w:t>
      </w:r>
    </w:p>
    <w:p w:rsidR="00412F06" w:rsidRPr="005D3B38" w:rsidRDefault="00412F06" w:rsidP="00697521">
      <w:pPr>
        <w:pStyle w:val="Ttulo1"/>
        <w:rPr>
          <w:rStyle w:val="Ttulodellibro"/>
          <w:rFonts w:ascii="ITC New Baskerville Std" w:hAnsi="ITC New Baskerville Std"/>
          <w:b/>
          <w:bCs w:val="0"/>
          <w:sz w:val="20"/>
          <w:szCs w:val="22"/>
        </w:rPr>
      </w:pPr>
      <w:r w:rsidRPr="005D3B38">
        <w:rPr>
          <w:rStyle w:val="Ttulodellibro"/>
          <w:rFonts w:ascii="ITC New Baskerville Std" w:hAnsi="ITC New Baskerville Std"/>
          <w:b/>
        </w:rPr>
        <w:t>CUARTA. Competencias da Comisión Académica</w:t>
      </w:r>
    </w:p>
    <w:p w:rsidR="00412F06" w:rsidRPr="005D3B38" w:rsidRDefault="00412F06" w:rsidP="00697521">
      <w:pPr>
        <w:rPr>
          <w:rFonts w:ascii="ITC New Baskerville Std" w:hAnsi="ITC New Baskerville Std"/>
        </w:rPr>
      </w:pPr>
      <w:r w:rsidRPr="005D3B38">
        <w:rPr>
          <w:rFonts w:ascii="ITC New Baskerville Std" w:hAnsi="ITC New Baskerville Std"/>
        </w:rPr>
        <w:t>Son funcións da Comisión Académica dun Programa de Doutoramento:</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Deseñar, organizar, coordinar e propor ao </w:t>
      </w:r>
      <w:r w:rsidRPr="005D3B38">
        <w:rPr>
          <w:rFonts w:ascii="ITC New Baskerville Std" w:hAnsi="ITC New Baskerville Std"/>
          <w:u w:val="single"/>
        </w:rPr>
        <w:t>órgano/unidade responsable dos estudos de doutoramento en cada universidade</w:t>
      </w:r>
      <w:r w:rsidRPr="005D3B38">
        <w:rPr>
          <w:rFonts w:ascii="ITC New Baskerville Std" w:hAnsi="ITC New Baskerville Std"/>
        </w:rPr>
        <w:t xml:space="preserve"> o conxunto de actividades que conforman o programa, incluíndo liñas de investigación, actividades formativas, relación de persoal investigador que asumirá a Titoría e a dirección de teses doutorais, criterios de admisión e selección do alumnado e toda canta información sexa requirida polo </w:t>
      </w:r>
      <w:r w:rsidRPr="005D3B38">
        <w:rPr>
          <w:rFonts w:ascii="ITC New Baskerville Std" w:hAnsi="ITC New Baskerville Std"/>
          <w:u w:val="single"/>
        </w:rPr>
        <w:t>órgano/unidade responsable dos estudos de doutoramento en cada universidade</w:t>
      </w:r>
      <w:r w:rsidRPr="005D3B38">
        <w:rPr>
          <w:rFonts w:ascii="ITC New Baskerville Std" w:hAnsi="ITC New Baskerville Std"/>
        </w:rPr>
        <w:t xml:space="preserve"> en cumprimento da normativa vixente.</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Manter actualizada a información referente ao Programa de Doutoramento e informar a este respecto ao </w:t>
      </w:r>
      <w:r w:rsidRPr="005D3B38">
        <w:rPr>
          <w:rFonts w:ascii="ITC New Baskerville Std" w:hAnsi="ITC New Baskerville Std"/>
          <w:u w:val="single"/>
        </w:rPr>
        <w:t>órgano/unidade responsable dos estudos de doutoramento en cada universidade</w:t>
      </w:r>
      <w:r w:rsidRPr="005D3B38">
        <w:rPr>
          <w:rFonts w:ascii="ITC New Baskerville Std" w:hAnsi="ITC New Baskerville Std"/>
        </w:rPr>
        <w:t xml:space="preserve"> nos prazos e procedemento establecidos.</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Realizar o proceso de valoración de méritos e admisión do alumnado no Programa de Doutoramento, mediante a aplicación dos criterios e procedementos de selección establecidos na memoria de verificación, que serán públicos.</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Asignar ao alumno admitido no programa un Titor e, no prazo máximo de tres meses despois de formalizar a súa matrícula, un Director. Tamén compete á CAPD a modificación destes nomeamentos e, se é o caso, a autorización da </w:t>
      </w:r>
      <w:proofErr w:type="spellStart"/>
      <w:r w:rsidRPr="005D3B38">
        <w:rPr>
          <w:rFonts w:ascii="ITC New Baskerville Std" w:hAnsi="ITC New Baskerville Std"/>
        </w:rPr>
        <w:t>codirección</w:t>
      </w:r>
      <w:proofErr w:type="spellEnd"/>
      <w:r w:rsidRPr="005D3B38">
        <w:rPr>
          <w:rFonts w:ascii="ITC New Baskerville Std" w:hAnsi="ITC New Baskerville Std"/>
        </w:rPr>
        <w:t xml:space="preserve"> da tese cando concorran razóns de índole académico que o xustifiquen.</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Establecer, se procede, os complementos específicos de formación que o alumnado debe cursar para ser admitido no Programa de Doutoramento.</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Establecer, se procede, os requisitos de formación transversal e de formación específica no ámbito do programa que o alumno debe cursar tras ser admitido no Programa de Doutoramento. </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Realizar anualmente a avaliación do Documento de Actividades e do Plan de Investigación de cada doutorando, tendo en conta os informes que a tal efecto deberán emitir o Titor e o Director.</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Autorizar as estancias e as actividades fora de España en institucións de ensinanza superior ou centros de investigación de prestixio, necesarias para a inclusión da mención internacional no título de doutor. Estas estancias e actividades deberán ser previamente informadas e avaladas polo Director e o Titor. </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Autorizar a realización de estudos de doutoramento a tempo parcial no seu programa cando proceda.</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Autorizar, de selo caso, as prórrogas na duración dos estudos de doutoramento e a concesión de baixas temporais, segundo o disposto no RD 99/2011 e </w:t>
      </w:r>
      <w:r w:rsidR="00BE1AA0" w:rsidRPr="005D3B38">
        <w:rPr>
          <w:rFonts w:ascii="ITC New Baskerville Std" w:hAnsi="ITC New Baskerville Std"/>
        </w:rPr>
        <w:t>na normativa de estudos de doutoramento propia de cada universidade</w:t>
      </w:r>
      <w:r w:rsidRPr="005D3B38">
        <w:rPr>
          <w:rFonts w:ascii="ITC New Baskerville Std" w:hAnsi="ITC New Baskerville Std"/>
        </w:rPr>
        <w:t>.</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Facer as propostas de modificación e/ou suspensión/extinción do programa, que serán remitidas ao </w:t>
      </w:r>
      <w:r w:rsidRPr="005D3B38">
        <w:rPr>
          <w:rFonts w:ascii="ITC New Baskerville Std" w:hAnsi="ITC New Baskerville Std"/>
          <w:u w:val="single"/>
        </w:rPr>
        <w:t>órgano/unidade responsable dos estudos de doutoramento na universidade</w:t>
      </w:r>
      <w:r w:rsidRPr="005D3B38">
        <w:rPr>
          <w:rFonts w:ascii="ITC New Baskerville Std" w:hAnsi="ITC New Baskerville Std"/>
        </w:rPr>
        <w:t xml:space="preserve"> para súa valoración. </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Proporcionar asesoramento académico e/ou científico a </w:t>
      </w:r>
      <w:proofErr w:type="spellStart"/>
      <w:r w:rsidRPr="005D3B38">
        <w:rPr>
          <w:rFonts w:ascii="ITC New Baskerville Std" w:hAnsi="ITC New Baskerville Std"/>
        </w:rPr>
        <w:t>doutorandos</w:t>
      </w:r>
      <w:proofErr w:type="spellEnd"/>
      <w:r w:rsidRPr="005D3B38">
        <w:rPr>
          <w:rFonts w:ascii="ITC New Baskerville Std" w:hAnsi="ITC New Baskerville Std"/>
        </w:rPr>
        <w:t xml:space="preserve"> e a Directores de teses.</w:t>
      </w:r>
    </w:p>
    <w:p w:rsidR="00410DAA"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Emitir o informe de autorización de inicio de trámite para a presentación e exposición pública da tese de doutoramento e aprobar, de selo caso, requisitos de calidade das teses de doutoramento. </w:t>
      </w:r>
    </w:p>
    <w:p w:rsidR="00412F06" w:rsidRPr="005D3B38" w:rsidRDefault="00410DAA" w:rsidP="00697521">
      <w:pPr>
        <w:pStyle w:val="Prrafodelista"/>
        <w:numPr>
          <w:ilvl w:val="0"/>
          <w:numId w:val="11"/>
        </w:numPr>
        <w:rPr>
          <w:rFonts w:ascii="ITC New Baskerville Std" w:hAnsi="ITC New Baskerville Std"/>
        </w:rPr>
      </w:pPr>
      <w:r w:rsidRPr="005D3B38">
        <w:rPr>
          <w:rFonts w:ascii="ITC New Baskerville Std" w:hAnsi="ITC New Baskerville Std"/>
        </w:rPr>
        <w:t>Elaborar a memoria para a verificación e/ou modificación do Programa de Doutoramento segundo a normativa vixente</w:t>
      </w:r>
    </w:p>
    <w:p w:rsidR="008F06F9" w:rsidRPr="005D3B38" w:rsidRDefault="008F06F9"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 </w:t>
      </w:r>
      <w:r w:rsidR="00410DAA" w:rsidRPr="005D3B38">
        <w:rPr>
          <w:rFonts w:ascii="ITC New Baskerville Std" w:hAnsi="ITC New Baskerville Std"/>
        </w:rPr>
        <w:t xml:space="preserve">Calquera outra función que lle encomende o </w:t>
      </w:r>
      <w:r w:rsidR="00410DAA" w:rsidRPr="005D3B38">
        <w:rPr>
          <w:rFonts w:ascii="ITC New Baskerville Std" w:hAnsi="ITC New Baskerville Std"/>
          <w:u w:val="single"/>
        </w:rPr>
        <w:t>órgano/unidade responsable dos estudos de doutoramento en cada universidade</w:t>
      </w:r>
      <w:r w:rsidR="00410DAA" w:rsidRPr="005D3B38">
        <w:rPr>
          <w:rFonts w:ascii="ITC New Baskerville Std" w:hAnsi="ITC New Baskerville Std"/>
        </w:rPr>
        <w:t xml:space="preserve"> ou se lle asigne en cumprimento da normativa e demais disposicións legais vixentes</w:t>
      </w:r>
      <w:r w:rsidR="00BD5AA0">
        <w:rPr>
          <w:rFonts w:ascii="ITC New Baskerville Std" w:hAnsi="ITC New Baskerville Std"/>
        </w:rPr>
        <w:t>.</w:t>
      </w:r>
    </w:p>
    <w:p w:rsidR="00412F06" w:rsidRPr="005D3B38" w:rsidRDefault="00412F06" w:rsidP="00697521">
      <w:pPr>
        <w:rPr>
          <w:rFonts w:ascii="ITC New Baskerville Std" w:hAnsi="ITC New Baskerville Std"/>
          <w:i/>
        </w:rPr>
      </w:pPr>
      <w:r w:rsidRPr="005D3B38">
        <w:rPr>
          <w:rFonts w:ascii="ITC New Baskerville Std" w:hAnsi="ITC New Baskerville Std"/>
        </w:rPr>
        <w:t>Para a realización das ditas funcións, a CAPD poderá nomear comisións delegadas en cada unha das universidades participantes, debendo quedar reflectido este feito no correspondente  Regulamento de Réxime Interno da CAPD</w:t>
      </w:r>
      <w:r w:rsidRPr="005D3B38">
        <w:rPr>
          <w:rFonts w:ascii="ITC New Baskerville Std" w:hAnsi="ITC New Baskerville Std"/>
          <w:i/>
        </w:rPr>
        <w:t>.</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QUINTA.- Adhesión doutras Entidades</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Aos Estudos de Doutoramento obxecto do presente convenio estará aberta á incorporación, en cursos futuros, doutras universidades nos mesmos termos do presente convenio, farase mediante o correspondente convenio de adscrición firmado por todas as partes, previa comunicación e informe favorable das autoridades educativas competentes para a verificación dos estudos. </w:t>
      </w:r>
    </w:p>
    <w:p w:rsidR="00412F06" w:rsidRPr="005D3B38" w:rsidRDefault="00412F06" w:rsidP="005D3B38">
      <w:pPr>
        <w:rPr>
          <w:rFonts w:ascii="ITC New Baskerville Std" w:hAnsi="ITC New Baskerville Std"/>
        </w:rPr>
      </w:pPr>
      <w:r w:rsidRPr="005D3B38">
        <w:rPr>
          <w:rFonts w:ascii="ITC New Baskerville Std" w:hAnsi="ITC New Baskerville Std"/>
        </w:rPr>
        <w:t>As entidades que se adhiran con posterioridade á implantación dos ensinos terán os mesmos dereitos e obrigacións que as actualmente asinantes, respectando os acordos tomados pola CAPD ata a data da súa incorporación.</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SEXTA- Organización da formación doutoral do Programa de Doutoramento</w:t>
      </w:r>
    </w:p>
    <w:p w:rsidR="00412F06" w:rsidRPr="005D3B38" w:rsidRDefault="00412F06" w:rsidP="005D3B38">
      <w:pPr>
        <w:rPr>
          <w:rFonts w:ascii="ITC New Baskerville Std" w:hAnsi="ITC New Baskerville Std"/>
        </w:rPr>
      </w:pPr>
      <w:r w:rsidRPr="005D3B38">
        <w:rPr>
          <w:rFonts w:ascii="ITC New Baskerville Std" w:hAnsi="ITC New Baskerville Std"/>
        </w:rPr>
        <w:t>O programa docente será elaborado e actualizado conxuntamente polas Entidades participantes na organización e desenvolvemento do Programa de Doutoramento a través da CAPD e ofertarase nos termos acordados por esta.</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SÉTIMA.- Recursos e servizos destinados ás ensinanzas</w:t>
      </w:r>
    </w:p>
    <w:p w:rsidR="00412F06" w:rsidRPr="005D3B38" w:rsidRDefault="00412F06" w:rsidP="005D3B38">
      <w:pPr>
        <w:rPr>
          <w:rFonts w:ascii="ITC New Baskerville Std" w:hAnsi="ITC New Baskerville Std"/>
        </w:rPr>
      </w:pPr>
      <w:r w:rsidRPr="005D3B38">
        <w:rPr>
          <w:rFonts w:ascii="ITC New Baskerville Std" w:hAnsi="ITC New Baskerville Std"/>
        </w:rPr>
        <w:t>As Entidades facilitarán ao alumnado matriculado nas citadas ensinanzas o acceso á  utilización dos servizos xerais de cada Entidade (aulas de estudo, aulas informáticas, bibliotecas, laboratorios, et</w:t>
      </w:r>
      <w:r w:rsidR="00BA61CA" w:rsidRPr="005D3B38">
        <w:rPr>
          <w:rFonts w:ascii="ITC New Baskerville Std" w:hAnsi="ITC New Baskerville Std"/>
        </w:rPr>
        <w:t>c..</w:t>
      </w:r>
      <w:r w:rsidRPr="005D3B38">
        <w:rPr>
          <w:rFonts w:ascii="ITC New Baskerville Std" w:hAnsi="ITC New Baskerville Std"/>
        </w:rPr>
        <w:t xml:space="preserve">.), para o adecuado desenvolvemento das mesmas. </w:t>
      </w:r>
    </w:p>
    <w:p w:rsidR="00412F06" w:rsidRPr="005D3B38" w:rsidRDefault="00412F06" w:rsidP="005D3B38">
      <w:pPr>
        <w:rPr>
          <w:rFonts w:ascii="ITC New Baskerville Std" w:hAnsi="ITC New Baskerville Std"/>
        </w:rPr>
      </w:pPr>
      <w:r w:rsidRPr="005D3B38">
        <w:rPr>
          <w:rFonts w:ascii="ITC New Baskerville Std" w:hAnsi="ITC New Baskerville Std"/>
        </w:rPr>
        <w:t>A xestión de ingresos e gastos que se orixinen na impartición do Programa de Doutoramento obxecto do presente convenio, realizarase de acordo coa normativa que, para ese efecto, estea vixente en cada unha das Entidades participantes. O financiamento dos gastos ordinarios asociados á realización dos ensinos  levarase a cabo dentro de cada Entidade.</w:t>
      </w:r>
    </w:p>
    <w:p w:rsidR="00412F06" w:rsidRPr="005D3B38" w:rsidRDefault="00412F06" w:rsidP="005D3B38">
      <w:pPr>
        <w:rPr>
          <w:rFonts w:ascii="ITC New Baskerville Std" w:hAnsi="ITC New Baskerville Std"/>
        </w:rPr>
      </w:pPr>
      <w:r w:rsidRPr="005D3B38">
        <w:rPr>
          <w:rFonts w:ascii="ITC New Baskerville Std" w:hAnsi="ITC New Baskerville Std"/>
        </w:rPr>
        <w:t>Cada Universidade asinante achega ao Doutoramento os recursos humanos e materiais necesarios para o bo funcionamento de ditos estudos así como as estruturas de soporte administrativo necesarias para facer fronte á xestión financeira do curso (incluíndo xestión de bolsas e matrículas).</w:t>
      </w:r>
    </w:p>
    <w:p w:rsidR="00412F06" w:rsidRPr="005D3B38" w:rsidRDefault="00412F06" w:rsidP="005D3B38">
      <w:pPr>
        <w:rPr>
          <w:rFonts w:ascii="ITC New Baskerville Std" w:hAnsi="ITC New Baskerville Std"/>
        </w:rPr>
      </w:pPr>
      <w:r w:rsidRPr="005D3B38">
        <w:rPr>
          <w:rFonts w:ascii="ITC New Baskerville Std" w:hAnsi="ITC New Baskerville Std"/>
        </w:rPr>
        <w:t>Os gastos extraordinarios asociados á condición de programa interuniversitario cubriranse, no seu caso, por acordo das vicerreitorías</w:t>
      </w:r>
      <w:r w:rsidR="00BA61CA" w:rsidRPr="005D3B38">
        <w:rPr>
          <w:rFonts w:ascii="ITC New Baskerville Std" w:hAnsi="ITC New Baskerville Std"/>
        </w:rPr>
        <w:t xml:space="preserve"> </w:t>
      </w:r>
      <w:r w:rsidRPr="005D3B38">
        <w:rPr>
          <w:rFonts w:ascii="ITC New Baskerville Std" w:hAnsi="ITC New Baskerville Std"/>
        </w:rPr>
        <w:t xml:space="preserve">con competencia nos estudios de doutoramento, e das xerencias das Universidades </w:t>
      </w:r>
      <w:proofErr w:type="spellStart"/>
      <w:r w:rsidRPr="005D3B38">
        <w:rPr>
          <w:rFonts w:ascii="ITC New Baskerville Std" w:hAnsi="ITC New Baskerville Std"/>
        </w:rPr>
        <w:t>sinatarias</w:t>
      </w:r>
      <w:proofErr w:type="spellEnd"/>
      <w:r w:rsidRPr="005D3B38">
        <w:rPr>
          <w:rFonts w:ascii="ITC New Baskerville Std" w:hAnsi="ITC New Baskerville Std"/>
        </w:rPr>
        <w:t xml:space="preserve"> do convenio a cargo de fondos públicos e privados ós que se determine concorrer.</w:t>
      </w:r>
    </w:p>
    <w:p w:rsidR="00412F06" w:rsidRPr="005D3B38" w:rsidRDefault="00412F06" w:rsidP="005D3B38">
      <w:pPr>
        <w:rPr>
          <w:rFonts w:ascii="ITC New Baskerville Std" w:hAnsi="ITC New Baskerville Std"/>
        </w:rPr>
      </w:pPr>
      <w:r w:rsidRPr="005D3B38">
        <w:rPr>
          <w:rFonts w:ascii="ITC New Baskerville Std" w:hAnsi="ITC New Baskerville Std"/>
        </w:rPr>
        <w:t>Os ingresos extraordinarios xestionaranse pola CAPD obxecto do convenio e cos criterios que estableza o documento de concesión.</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OITAVA.- Admisión e selección do alumnado</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As Universidades asinantes do convenio comprométense a incluír o Programa de Doutoramento </w:t>
      </w:r>
      <w:r w:rsidRPr="005D3B38">
        <w:rPr>
          <w:rFonts w:ascii="ITC New Baskerville Std" w:hAnsi="ITC New Baskerville Std"/>
          <w:highlight w:val="yellow"/>
        </w:rPr>
        <w:t>XXX</w:t>
      </w:r>
      <w:r w:rsidRPr="005D3B38">
        <w:rPr>
          <w:rFonts w:ascii="ITC New Baskerville Std" w:hAnsi="ITC New Baskerville Std"/>
        </w:rPr>
        <w:t xml:space="preserve"> dentro da súa oferta docente anual. Os/as estudantes interesados/as en cursar o Programa de Doutoramento poderán solicitar a súa admisión no mesmo en calquera das Universidades participantes segundo o procedemento vixente en cada unha delas.</w:t>
      </w:r>
    </w:p>
    <w:p w:rsidR="00412F06" w:rsidRPr="005D3B38" w:rsidRDefault="00412F06" w:rsidP="005D3B38">
      <w:pPr>
        <w:rPr>
          <w:rFonts w:ascii="ITC New Baskerville Std" w:hAnsi="ITC New Baskerville Std"/>
        </w:rPr>
      </w:pPr>
      <w:r w:rsidRPr="005D3B38">
        <w:rPr>
          <w:rFonts w:ascii="ITC New Baskerville Std" w:hAnsi="ITC New Baskerville Std"/>
        </w:rPr>
        <w:t>A CAPD aplicará os criterios de admisión e selección do alumnado, definidos na memoria de verificación das citadas ensinanzas, criterios que serán únicos para todos os estudantes, independentemente da Universidade na que soliciten ser admitidos.</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Os/as estudantes admitidos no Programa de Doutoramento </w:t>
      </w:r>
      <w:r w:rsidRPr="005D3B38">
        <w:rPr>
          <w:rFonts w:ascii="ITC New Baskerville Std" w:hAnsi="ITC New Baskerville Std"/>
          <w:highlight w:val="yellow"/>
        </w:rPr>
        <w:t>XXX</w:t>
      </w:r>
      <w:r w:rsidRPr="005D3B38">
        <w:rPr>
          <w:rFonts w:ascii="ITC New Baskerville Std" w:hAnsi="ITC New Baskerville Std"/>
        </w:rPr>
        <w:t xml:space="preserve">  formalizarán a matrícula na Universidade correspondente, aboando os prezos públicos que estableza cada Universidade.</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NOVENA.- Tramitación de expedientes</w:t>
      </w:r>
    </w:p>
    <w:p w:rsidR="00412F06" w:rsidRPr="005D3B38" w:rsidRDefault="00412F06" w:rsidP="005D3B38">
      <w:pPr>
        <w:rPr>
          <w:rFonts w:ascii="ITC New Baskerville Std" w:hAnsi="ITC New Baskerville Std"/>
        </w:rPr>
      </w:pPr>
      <w:r w:rsidRPr="005D3B38">
        <w:rPr>
          <w:rFonts w:ascii="ITC New Baskerville Std" w:hAnsi="ITC New Baskerville Std"/>
        </w:rPr>
        <w:t>Cada unha das Universidades asinantes do presente convenio asume as tarefas de tramitación e custodia dos expedientes dos estudantes que se matriculen nela. Tamén se comprometen a comunicar ao resto das Entidades asinantes do convenio a relación de alumnos matriculados na mesma.</w:t>
      </w:r>
    </w:p>
    <w:p w:rsidR="00412F06" w:rsidRPr="005D3B38" w:rsidRDefault="00412F06" w:rsidP="005D3B38">
      <w:pPr>
        <w:rPr>
          <w:rFonts w:ascii="ITC New Baskerville Std" w:hAnsi="ITC New Baskerville Std"/>
        </w:rPr>
      </w:pPr>
      <w:r w:rsidRPr="005D3B38">
        <w:rPr>
          <w:rFonts w:ascii="ITC New Baskerville Std" w:hAnsi="ITC New Baskerville Std"/>
        </w:rPr>
        <w:t>O alumnado estará vinculado, a todos os efectos,  á Universidade na que se matriculara e, na súa condición de alumno ou alumna de doutoramento, seralle de aplicación a normativa vixente na mesma, respondendo aos deberes inherentes á condición de alumnado de dita Universidade.</w:t>
      </w:r>
    </w:p>
    <w:p w:rsidR="00412F06" w:rsidRPr="005D3B38" w:rsidRDefault="00412F06" w:rsidP="005D3B38">
      <w:pPr>
        <w:rPr>
          <w:rFonts w:ascii="ITC New Baskerville Std" w:hAnsi="ITC New Baskerville Std"/>
        </w:rPr>
      </w:pPr>
      <w:r w:rsidRPr="005D3B38">
        <w:rPr>
          <w:rFonts w:ascii="ITC New Baskerville Std" w:hAnsi="ITC New Baskerville Std"/>
        </w:rPr>
        <w:t>As Universidades participantes recoñecerán a efectos académicos e administrativos as materias e actividades docentes do Programa de Doutoramento cursadas en calquera das Entidades asinantes, nos termos que constan na memoria de verificación do programa.</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As Universidades participantes comprométense a coordinar prazos e procedementos no proceso de </w:t>
      </w:r>
      <w:proofErr w:type="spellStart"/>
      <w:r w:rsidRPr="005D3B38">
        <w:rPr>
          <w:rFonts w:ascii="ITC New Baskerville Std" w:hAnsi="ITC New Baskerville Std"/>
        </w:rPr>
        <w:t>preinscrición</w:t>
      </w:r>
      <w:proofErr w:type="spellEnd"/>
      <w:r w:rsidRPr="005D3B38">
        <w:rPr>
          <w:rFonts w:ascii="ITC New Baskerville Std" w:hAnsi="ITC New Baskerville Std"/>
        </w:rPr>
        <w:t xml:space="preserve"> e matrícula ao obxecto de que a CAPD poida valorar todas as solicitudes de admisión conxuntamente.</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DÉCIMA.- Expedición dos títulos</w:t>
      </w:r>
    </w:p>
    <w:p w:rsidR="00412F06" w:rsidRPr="005D3B38" w:rsidRDefault="00412F06" w:rsidP="005D3B38">
      <w:pPr>
        <w:rPr>
          <w:rFonts w:ascii="ITC New Baskerville Std" w:hAnsi="ITC New Baskerville Std"/>
        </w:rPr>
      </w:pPr>
      <w:r w:rsidRPr="005D3B38">
        <w:rPr>
          <w:rFonts w:ascii="ITC New Baskerville Std" w:hAnsi="ITC New Baskerville Std"/>
        </w:rPr>
        <w:t>O título de doutor/a será único. Corresponderalle a expedición e rexistro do título á Universidade onde o alumno remate os estudos, facéndose constar no mesmo o carácter de titulación conxunta entre as Universidades participantes no presente convenio, debendo aparecer os logos das Universidades participantes.</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UNDÉCIMA.- Procedemento para a modificación ou extinción de planos de estudo</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A modificación e/ou extinción del planos de estudos conducente ao título de doutor/a, arbitrarase mediante acordo da maioría das partes. </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Un Programa de Doutoramento </w:t>
      </w:r>
      <w:r w:rsidR="00BA61CA" w:rsidRPr="005D3B38">
        <w:rPr>
          <w:rFonts w:ascii="ITC New Baskerville Std" w:hAnsi="ITC New Baskerville Std"/>
        </w:rPr>
        <w:t>extinguirase</w:t>
      </w:r>
      <w:r w:rsidRPr="005D3B38">
        <w:rPr>
          <w:rFonts w:ascii="ITC New Baskerville Std" w:hAnsi="ITC New Baskerville Std"/>
        </w:rPr>
        <w:t xml:space="preserve"> por algunha das seguintes causas:</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Que non supere o proceso de renovación da acreditación establecido no artigo 10 do RD 99/2011.</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Que non acredite o cumprimento dos requisitos básicos que o Goberno estableza de conformidade co disposto na Lei Orgánica 6/2001, de Universidades.</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Que non cumpra os requisitos establecidos no artigo 6 do Decreto 222/2011 ou se vexa afecto polo disposto no artigo 18 do devandito Decreto.</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Que se formule proposta de extinción do programa ao abeiro dos procesos de revisión e mellora do título de acordo coa sistemática aprobada pola Universidade.</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Cando concorra calquera situación excepcional que impida o correcto desenvolvemento do Programa de Doutoramento</w:t>
      </w:r>
    </w:p>
    <w:p w:rsidR="00412F06" w:rsidRPr="005D3B38" w:rsidRDefault="00412F06" w:rsidP="005D3B38">
      <w:pPr>
        <w:rPr>
          <w:rFonts w:ascii="ITC New Baskerville Std" w:hAnsi="ITC New Baskerville Std"/>
        </w:rPr>
      </w:pPr>
      <w:r w:rsidRPr="005D3B38">
        <w:rPr>
          <w:rFonts w:ascii="ITC New Baskerville Std" w:hAnsi="ITC New Baskerville Std"/>
        </w:rPr>
        <w:t>A extinción producirá os seguintes efectos:</w:t>
      </w:r>
    </w:p>
    <w:p w:rsidR="00412F06" w:rsidRPr="005D3B38" w:rsidRDefault="00412F06" w:rsidP="005D3B38">
      <w:pPr>
        <w:numPr>
          <w:ilvl w:val="0"/>
          <w:numId w:val="16"/>
        </w:numPr>
        <w:rPr>
          <w:rFonts w:ascii="ITC New Baskerville Std" w:hAnsi="ITC New Baskerville Std"/>
        </w:rPr>
      </w:pPr>
      <w:r w:rsidRPr="005D3B38">
        <w:rPr>
          <w:rFonts w:ascii="ITC New Baskerville Std" w:hAnsi="ITC New Baskerville Std"/>
        </w:rPr>
        <w:t>A extinción dun Programa de Doutoramento comportará a perda do seu carácter oficial e a baixa no RUCT.</w:t>
      </w:r>
    </w:p>
    <w:p w:rsidR="00412F06" w:rsidRPr="005D3B38" w:rsidRDefault="00412F06" w:rsidP="005D3B38">
      <w:pPr>
        <w:numPr>
          <w:ilvl w:val="0"/>
          <w:numId w:val="16"/>
        </w:numPr>
        <w:rPr>
          <w:rFonts w:ascii="ITC New Baskerville Std" w:hAnsi="ITC New Baskerville Std"/>
        </w:rPr>
      </w:pPr>
      <w:r w:rsidRPr="005D3B38">
        <w:rPr>
          <w:rFonts w:ascii="ITC New Baskerville Std" w:hAnsi="ITC New Baskerville Std"/>
        </w:rPr>
        <w:t>Non se poderá proceder a matriculación de novos alumnos no Programa de Doutoramento.</w:t>
      </w:r>
    </w:p>
    <w:p w:rsidR="00412F06" w:rsidRPr="005D3B38" w:rsidRDefault="00412F06" w:rsidP="005D3B38">
      <w:pPr>
        <w:numPr>
          <w:ilvl w:val="0"/>
          <w:numId w:val="16"/>
        </w:numPr>
        <w:rPr>
          <w:rFonts w:ascii="ITC New Baskerville Std" w:hAnsi="ITC New Baskerville Std"/>
        </w:rPr>
      </w:pPr>
      <w:r w:rsidRPr="005D3B38">
        <w:rPr>
          <w:rFonts w:ascii="ITC New Baskerville Std" w:hAnsi="ITC New Baskerville Std"/>
        </w:rPr>
        <w:t>A extinción non afectará aos estudantes matriculados con anterioridade e que se atopen cursando estudos no momento da adopción da decisión de extinción. En calquera caso todos os alumnos afectados deberán ser informados da extinción e das consecuencias da mesma no relativo ao desenvolvemento dos seus estudos.</w:t>
      </w:r>
    </w:p>
    <w:p w:rsidR="00412F06" w:rsidRPr="005D3B38" w:rsidRDefault="00412F06" w:rsidP="005D3B38">
      <w:pPr>
        <w:numPr>
          <w:ilvl w:val="0"/>
          <w:numId w:val="16"/>
        </w:numPr>
        <w:rPr>
          <w:rFonts w:ascii="ITC New Baskerville Std" w:hAnsi="ITC New Baskerville Std"/>
        </w:rPr>
      </w:pPr>
      <w:r w:rsidRPr="005D3B38">
        <w:rPr>
          <w:rFonts w:ascii="ITC New Baskerville Std" w:hAnsi="ITC New Baskerville Std"/>
        </w:rPr>
        <w:t>As universidades asinantes do convenio adoptarán as medidas necesarias para garantir os dereitos académicos dos estudantes que se encontren cursando os ditos estudos nos termos establecidos na resolución de extinción dos planos de estudo e acordarán e aprobarán o procedemento de extinción do Programa de Doutoramento nas universidades asinantes do convenio.</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DUODÉCIMA.-Seguros</w:t>
      </w:r>
    </w:p>
    <w:p w:rsidR="00412F06" w:rsidRPr="005D3B38" w:rsidRDefault="00412F06" w:rsidP="005D3B38">
      <w:pPr>
        <w:rPr>
          <w:rFonts w:ascii="ITC New Baskerville Std" w:hAnsi="ITC New Baskerville Std"/>
        </w:rPr>
      </w:pPr>
      <w:r w:rsidRPr="005D3B38">
        <w:rPr>
          <w:rFonts w:ascii="ITC New Baskerville Std" w:hAnsi="ITC New Baskerville Std"/>
        </w:rPr>
        <w:t>As Universidades participantes garantirán a cobertura dos seguros necesarios do alumnado matriculado en cada Universidade</w:t>
      </w:r>
      <w:r w:rsidR="00BD5AA0">
        <w:rPr>
          <w:rFonts w:ascii="ITC New Baskerville Std" w:hAnsi="ITC New Baskerville Std"/>
        </w:rPr>
        <w:t>.</w:t>
      </w:r>
    </w:p>
    <w:p w:rsidR="00412F06" w:rsidRPr="005D3B38" w:rsidRDefault="00412F06" w:rsidP="005D3B38">
      <w:pPr>
        <w:rPr>
          <w:rFonts w:ascii="ITC New Baskerville Std" w:hAnsi="ITC New Baskerville Std"/>
        </w:rPr>
      </w:pPr>
      <w:r w:rsidRPr="005D3B38">
        <w:rPr>
          <w:rFonts w:ascii="ITC New Baskerville Std" w:hAnsi="ITC New Baskerville Std"/>
        </w:rPr>
        <w:t>Todo o alumnado da Universidade de Santiago de Compostela menor de 28 anos que curse estudos oficiais está obrigado ao pagamento do seguro escolar. Este seguro abonarase unha soa vez por curso académico, independentemente das titulacións que se cursen. O alumnado poderá subscribir un seguro complementario e voluntario de accidente.</w:t>
      </w:r>
      <w:r w:rsidR="00BA61CA" w:rsidRPr="005D3B38">
        <w:rPr>
          <w:rFonts w:ascii="ITC New Baskerville Std" w:hAnsi="ITC New Baskerville Std"/>
        </w:rPr>
        <w:t xml:space="preserve"> </w:t>
      </w:r>
      <w:r w:rsidRPr="005D3B38">
        <w:rPr>
          <w:rFonts w:ascii="ITC New Baskerville Std" w:hAnsi="ITC New Baskerville Std"/>
        </w:rPr>
        <w:t>O alumnado que curse estudos na USC e estea fóra da cobertura do seguro escolar está obrigado á subscrición dun seguro obrigatorio segundo o establecido no correspondente Acordo do Consello Goberno de 29 de xuño de 2009.</w:t>
      </w:r>
    </w:p>
    <w:p w:rsidR="005D3B38" w:rsidRPr="005D3B38" w:rsidRDefault="005D3B38" w:rsidP="005D3B38">
      <w:pPr>
        <w:rPr>
          <w:rFonts w:ascii="ITC New Baskerville Std" w:hAnsi="ITC New Baskerville Std"/>
        </w:rPr>
      </w:pPr>
      <w:r w:rsidRPr="005D3B38">
        <w:rPr>
          <w:rFonts w:ascii="ITC New Baskerville Std" w:hAnsi="ITC New Baskerville Std"/>
        </w:rPr>
        <w:t xml:space="preserve">Todo el alumnado de la </w:t>
      </w:r>
      <w:proofErr w:type="spellStart"/>
      <w:r w:rsidRPr="005D3B38">
        <w:rPr>
          <w:rFonts w:ascii="ITC New Baskerville Std" w:hAnsi="ITC New Baskerville Std"/>
        </w:rPr>
        <w:t>Universidad</w:t>
      </w:r>
      <w:proofErr w:type="spellEnd"/>
      <w:r w:rsidRPr="005D3B38">
        <w:rPr>
          <w:rFonts w:ascii="ITC New Baskerville Std" w:hAnsi="ITC New Baskerville Std"/>
        </w:rPr>
        <w:t xml:space="preserve"> de A Coruña menor de 28 años que curse estudios </w:t>
      </w:r>
      <w:proofErr w:type="spellStart"/>
      <w:r w:rsidRPr="005D3B38">
        <w:rPr>
          <w:rFonts w:ascii="ITC New Baskerville Std" w:hAnsi="ITC New Baskerville Std"/>
        </w:rPr>
        <w:t>oficiales</w:t>
      </w:r>
      <w:proofErr w:type="spellEnd"/>
      <w:r w:rsidRPr="005D3B38">
        <w:rPr>
          <w:rFonts w:ascii="ITC New Baskerville Std" w:hAnsi="ITC New Baskerville Std"/>
        </w:rPr>
        <w:t xml:space="preserve"> está </w:t>
      </w:r>
      <w:proofErr w:type="spellStart"/>
      <w:r w:rsidRPr="005D3B38">
        <w:rPr>
          <w:rFonts w:ascii="ITC New Baskerville Std" w:hAnsi="ITC New Baskerville Std"/>
        </w:rPr>
        <w:t>obligado</w:t>
      </w:r>
      <w:proofErr w:type="spellEnd"/>
      <w:r w:rsidRPr="005D3B38">
        <w:rPr>
          <w:rFonts w:ascii="ITC New Baskerville Std" w:hAnsi="ITC New Baskerville Std"/>
        </w:rPr>
        <w:t xml:space="preserve"> </w:t>
      </w:r>
      <w:proofErr w:type="spellStart"/>
      <w:r w:rsidRPr="005D3B38">
        <w:rPr>
          <w:rFonts w:ascii="ITC New Baskerville Std" w:hAnsi="ITC New Baskerville Std"/>
        </w:rPr>
        <w:t>al</w:t>
      </w:r>
      <w:proofErr w:type="spellEnd"/>
      <w:r w:rsidRPr="005D3B38">
        <w:rPr>
          <w:rFonts w:ascii="ITC New Baskerville Std" w:hAnsi="ITC New Baskerville Std"/>
        </w:rPr>
        <w:t xml:space="preserve"> pago del seguro escolar. Este seguro se abonará una sola vez por curso académico, </w:t>
      </w:r>
      <w:proofErr w:type="spellStart"/>
      <w:r w:rsidRPr="005D3B38">
        <w:rPr>
          <w:rFonts w:ascii="ITC New Baskerville Std" w:hAnsi="ITC New Baskerville Std"/>
        </w:rPr>
        <w:t>independientemente</w:t>
      </w:r>
      <w:proofErr w:type="spellEnd"/>
      <w:r w:rsidRPr="005D3B38">
        <w:rPr>
          <w:rFonts w:ascii="ITC New Baskerville Std" w:hAnsi="ITC New Baskerville Std"/>
        </w:rPr>
        <w:t xml:space="preserve"> de las </w:t>
      </w:r>
      <w:proofErr w:type="spellStart"/>
      <w:r w:rsidRPr="005D3B38">
        <w:rPr>
          <w:rFonts w:ascii="ITC New Baskerville Std" w:hAnsi="ITC New Baskerville Std"/>
        </w:rPr>
        <w:t>titulaciones</w:t>
      </w:r>
      <w:proofErr w:type="spellEnd"/>
      <w:r w:rsidRPr="005D3B38">
        <w:rPr>
          <w:rFonts w:ascii="ITC New Baskerville Std" w:hAnsi="ITC New Baskerville Std"/>
        </w:rPr>
        <w:t xml:space="preserve"> que se cursen. Todo el alumnado que curse estudios en la UDC, </w:t>
      </w:r>
      <w:proofErr w:type="spellStart"/>
      <w:r w:rsidRPr="005D3B38">
        <w:rPr>
          <w:rFonts w:ascii="ITC New Baskerville Std" w:hAnsi="ITC New Baskerville Std"/>
        </w:rPr>
        <w:t>incluido</w:t>
      </w:r>
      <w:proofErr w:type="spellEnd"/>
      <w:r w:rsidRPr="005D3B38">
        <w:rPr>
          <w:rFonts w:ascii="ITC New Baskerville Std" w:hAnsi="ITC New Baskerville Std"/>
        </w:rPr>
        <w:t xml:space="preserve"> el que </w:t>
      </w:r>
      <w:proofErr w:type="spellStart"/>
      <w:r w:rsidRPr="005D3B38">
        <w:rPr>
          <w:rFonts w:ascii="ITC New Baskerville Std" w:hAnsi="ITC New Baskerville Std"/>
        </w:rPr>
        <w:t>esté</w:t>
      </w:r>
      <w:proofErr w:type="spellEnd"/>
      <w:r w:rsidRPr="005D3B38">
        <w:rPr>
          <w:rFonts w:ascii="ITC New Baskerville Std" w:hAnsi="ITC New Baskerville Std"/>
        </w:rPr>
        <w:t xml:space="preserve"> </w:t>
      </w:r>
      <w:proofErr w:type="spellStart"/>
      <w:r w:rsidRPr="005D3B38">
        <w:rPr>
          <w:rFonts w:ascii="ITC New Baskerville Std" w:hAnsi="ITC New Baskerville Std"/>
        </w:rPr>
        <w:t>fuera</w:t>
      </w:r>
      <w:proofErr w:type="spellEnd"/>
      <w:r w:rsidRPr="005D3B38">
        <w:rPr>
          <w:rFonts w:ascii="ITC New Baskerville Std" w:hAnsi="ITC New Baskerville Std"/>
        </w:rPr>
        <w:t xml:space="preserve"> de la cobertura del seguro escolar, está adicionalmente </w:t>
      </w:r>
      <w:proofErr w:type="spellStart"/>
      <w:r w:rsidRPr="005D3B38">
        <w:rPr>
          <w:rFonts w:ascii="ITC New Baskerville Std" w:hAnsi="ITC New Baskerville Std"/>
        </w:rPr>
        <w:t>cubierto</w:t>
      </w:r>
      <w:proofErr w:type="spellEnd"/>
      <w:r w:rsidRPr="005D3B38">
        <w:rPr>
          <w:rFonts w:ascii="ITC New Baskerville Std" w:hAnsi="ITC New Baskerville Std"/>
        </w:rPr>
        <w:t xml:space="preserve"> por un seguro de accidentes </w:t>
      </w:r>
      <w:proofErr w:type="spellStart"/>
      <w:r w:rsidRPr="005D3B38">
        <w:rPr>
          <w:rFonts w:ascii="ITC New Baskerville Std" w:hAnsi="ITC New Baskerville Std"/>
        </w:rPr>
        <w:t>suscrito</w:t>
      </w:r>
      <w:proofErr w:type="spellEnd"/>
      <w:r w:rsidRPr="005D3B38">
        <w:rPr>
          <w:rFonts w:ascii="ITC New Baskerville Std" w:hAnsi="ITC New Baskerville Std"/>
        </w:rPr>
        <w:t xml:space="preserve"> por la UDC que voluntariamente </w:t>
      </w:r>
      <w:proofErr w:type="spellStart"/>
      <w:r w:rsidRPr="005D3B38">
        <w:rPr>
          <w:rFonts w:ascii="ITC New Baskerville Std" w:hAnsi="ITC New Baskerville Std"/>
        </w:rPr>
        <w:t>puede</w:t>
      </w:r>
      <w:proofErr w:type="spellEnd"/>
      <w:r w:rsidRPr="005D3B38">
        <w:rPr>
          <w:rFonts w:ascii="ITC New Baskerville Std" w:hAnsi="ITC New Baskerville Std"/>
        </w:rPr>
        <w:t xml:space="preserve"> ser ampliado por cada alumno/a.</w:t>
      </w:r>
    </w:p>
    <w:p w:rsidR="005D3B38" w:rsidRPr="005D3B38" w:rsidRDefault="005D3B38" w:rsidP="005D3B38">
      <w:pPr>
        <w:rPr>
          <w:rFonts w:ascii="ITC New Baskerville Std" w:hAnsi="ITC New Baskerville Std"/>
        </w:rPr>
      </w:pPr>
      <w:r w:rsidRPr="005D3B38">
        <w:rPr>
          <w:rFonts w:ascii="ITC New Baskerville Std" w:hAnsi="ITC New Baskerville Std"/>
        </w:rPr>
        <w:t xml:space="preserve">Todo el alumnado de la </w:t>
      </w:r>
      <w:proofErr w:type="spellStart"/>
      <w:r w:rsidRPr="005D3B38">
        <w:rPr>
          <w:rFonts w:ascii="ITC New Baskerville Std" w:hAnsi="ITC New Baskerville Std"/>
        </w:rPr>
        <w:t>Universidad</w:t>
      </w:r>
      <w:proofErr w:type="spellEnd"/>
      <w:r w:rsidRPr="005D3B38">
        <w:rPr>
          <w:rFonts w:ascii="ITC New Baskerville Std" w:hAnsi="ITC New Baskerville Std"/>
        </w:rPr>
        <w:t xml:space="preserve"> de UVIGO menor de 28 años que curse estudios </w:t>
      </w:r>
      <w:proofErr w:type="spellStart"/>
      <w:r w:rsidRPr="005D3B38">
        <w:rPr>
          <w:rFonts w:ascii="ITC New Baskerville Std" w:hAnsi="ITC New Baskerville Std"/>
        </w:rPr>
        <w:t>oficiales</w:t>
      </w:r>
      <w:proofErr w:type="spellEnd"/>
      <w:r w:rsidRPr="005D3B38">
        <w:rPr>
          <w:rFonts w:ascii="ITC New Baskerville Std" w:hAnsi="ITC New Baskerville Std"/>
        </w:rPr>
        <w:t xml:space="preserve"> está </w:t>
      </w:r>
      <w:proofErr w:type="spellStart"/>
      <w:r w:rsidRPr="005D3B38">
        <w:rPr>
          <w:rFonts w:ascii="ITC New Baskerville Std" w:hAnsi="ITC New Baskerville Std"/>
        </w:rPr>
        <w:t>obligado</w:t>
      </w:r>
      <w:proofErr w:type="spellEnd"/>
      <w:r w:rsidRPr="005D3B38">
        <w:rPr>
          <w:rFonts w:ascii="ITC New Baskerville Std" w:hAnsi="ITC New Baskerville Std"/>
        </w:rPr>
        <w:t xml:space="preserve"> </w:t>
      </w:r>
      <w:proofErr w:type="spellStart"/>
      <w:r w:rsidRPr="005D3B38">
        <w:rPr>
          <w:rFonts w:ascii="ITC New Baskerville Std" w:hAnsi="ITC New Baskerville Std"/>
        </w:rPr>
        <w:t>al</w:t>
      </w:r>
      <w:proofErr w:type="spellEnd"/>
      <w:r w:rsidRPr="005D3B38">
        <w:rPr>
          <w:rFonts w:ascii="ITC New Baskerville Std" w:hAnsi="ITC New Baskerville Std"/>
        </w:rPr>
        <w:t xml:space="preserve"> pago del seguro escolar. Este seguro se abonará una sola vez por curso académico, </w:t>
      </w:r>
      <w:proofErr w:type="spellStart"/>
      <w:r w:rsidRPr="005D3B38">
        <w:rPr>
          <w:rFonts w:ascii="ITC New Baskerville Std" w:hAnsi="ITC New Baskerville Std"/>
        </w:rPr>
        <w:t>independientemente</w:t>
      </w:r>
      <w:proofErr w:type="spellEnd"/>
      <w:r w:rsidRPr="005D3B38">
        <w:rPr>
          <w:rFonts w:ascii="ITC New Baskerville Std" w:hAnsi="ITC New Baskerville Std"/>
        </w:rPr>
        <w:t xml:space="preserve"> de las </w:t>
      </w:r>
      <w:proofErr w:type="spellStart"/>
      <w:r w:rsidRPr="005D3B38">
        <w:rPr>
          <w:rFonts w:ascii="ITC New Baskerville Std" w:hAnsi="ITC New Baskerville Std"/>
        </w:rPr>
        <w:t>titulaciones</w:t>
      </w:r>
      <w:proofErr w:type="spellEnd"/>
      <w:r w:rsidRPr="005D3B38">
        <w:rPr>
          <w:rFonts w:ascii="ITC New Baskerville Std" w:hAnsi="ITC New Baskerville Std"/>
        </w:rPr>
        <w:t xml:space="preserve"> que se cursen. Todo el alumnado que curse estudios en la UVIGO, </w:t>
      </w:r>
      <w:proofErr w:type="spellStart"/>
      <w:r w:rsidRPr="005D3B38">
        <w:rPr>
          <w:rFonts w:ascii="ITC New Baskerville Std" w:hAnsi="ITC New Baskerville Std"/>
        </w:rPr>
        <w:t>incluido</w:t>
      </w:r>
      <w:proofErr w:type="spellEnd"/>
      <w:r w:rsidRPr="005D3B38">
        <w:rPr>
          <w:rFonts w:ascii="ITC New Baskerville Std" w:hAnsi="ITC New Baskerville Std"/>
        </w:rPr>
        <w:t xml:space="preserve"> el que </w:t>
      </w:r>
      <w:proofErr w:type="spellStart"/>
      <w:r w:rsidRPr="005D3B38">
        <w:rPr>
          <w:rFonts w:ascii="ITC New Baskerville Std" w:hAnsi="ITC New Baskerville Std"/>
        </w:rPr>
        <w:t>esté</w:t>
      </w:r>
      <w:proofErr w:type="spellEnd"/>
      <w:r w:rsidRPr="005D3B38">
        <w:rPr>
          <w:rFonts w:ascii="ITC New Baskerville Std" w:hAnsi="ITC New Baskerville Std"/>
        </w:rPr>
        <w:t xml:space="preserve"> </w:t>
      </w:r>
      <w:proofErr w:type="spellStart"/>
      <w:r w:rsidRPr="005D3B38">
        <w:rPr>
          <w:rFonts w:ascii="ITC New Baskerville Std" w:hAnsi="ITC New Baskerville Std"/>
        </w:rPr>
        <w:t>fuera</w:t>
      </w:r>
      <w:proofErr w:type="spellEnd"/>
      <w:r w:rsidRPr="005D3B38">
        <w:rPr>
          <w:rFonts w:ascii="ITC New Baskerville Std" w:hAnsi="ITC New Baskerville Std"/>
        </w:rPr>
        <w:t xml:space="preserve"> de la cobertura del seguro escolar, está adicionalmente </w:t>
      </w:r>
      <w:proofErr w:type="spellStart"/>
      <w:r w:rsidRPr="005D3B38">
        <w:rPr>
          <w:rFonts w:ascii="ITC New Baskerville Std" w:hAnsi="ITC New Baskerville Std"/>
        </w:rPr>
        <w:t>cubierto</w:t>
      </w:r>
      <w:proofErr w:type="spellEnd"/>
      <w:r w:rsidRPr="005D3B38">
        <w:rPr>
          <w:rFonts w:ascii="ITC New Baskerville Std" w:hAnsi="ITC New Baskerville Std"/>
        </w:rPr>
        <w:t xml:space="preserve"> por un seguro de accidentes </w:t>
      </w:r>
      <w:proofErr w:type="spellStart"/>
      <w:r w:rsidRPr="005D3B38">
        <w:rPr>
          <w:rFonts w:ascii="ITC New Baskerville Std" w:hAnsi="ITC New Baskerville Std"/>
        </w:rPr>
        <w:t>suscrito</w:t>
      </w:r>
      <w:proofErr w:type="spellEnd"/>
      <w:r w:rsidRPr="005D3B38">
        <w:rPr>
          <w:rFonts w:ascii="ITC New Baskerville Std" w:hAnsi="ITC New Baskerville Std"/>
        </w:rPr>
        <w:t xml:space="preserve"> por la UVIGO  que voluntariamente </w:t>
      </w:r>
      <w:proofErr w:type="spellStart"/>
      <w:r w:rsidRPr="005D3B38">
        <w:rPr>
          <w:rFonts w:ascii="ITC New Baskerville Std" w:hAnsi="ITC New Baskerville Std"/>
        </w:rPr>
        <w:t>puede</w:t>
      </w:r>
      <w:proofErr w:type="spellEnd"/>
      <w:r w:rsidRPr="005D3B38">
        <w:rPr>
          <w:rFonts w:ascii="ITC New Baskerville Std" w:hAnsi="ITC New Baskerville Std"/>
        </w:rPr>
        <w:t xml:space="preserve"> ser ampliado por cada alumno/a.</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DECIMOTERCEIRA.- Profesorado</w:t>
      </w:r>
    </w:p>
    <w:p w:rsidR="00412F06" w:rsidRPr="005D3B38" w:rsidRDefault="00412F06" w:rsidP="005D3B38">
      <w:pPr>
        <w:rPr>
          <w:rFonts w:ascii="ITC New Baskerville Std" w:hAnsi="ITC New Baskerville Std"/>
          <w:i/>
        </w:rPr>
      </w:pPr>
      <w:r w:rsidRPr="005D3B38">
        <w:rPr>
          <w:rFonts w:ascii="ITC New Baskerville Std" w:hAnsi="ITC New Baskerville Std"/>
          <w:i/>
        </w:rPr>
        <w:t>As Universidades participantes concederán os permisos oportunos ao profesorado para participar nas actividades académicas que teñan lugar no resto das Entidades asinantes  deste convenio, de acordo coa súa normativa propia.</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DECIMOCUARTA. Mobilidade de estudantes e profesorado</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De acordo co establecido no plan de formación, a </w:t>
      </w:r>
      <w:r w:rsidR="0069073D" w:rsidRPr="005D3B38">
        <w:rPr>
          <w:rFonts w:ascii="ITC New Baskerville Std" w:hAnsi="ITC New Baskerville Std"/>
        </w:rPr>
        <w:t>CAPD</w:t>
      </w:r>
      <w:r w:rsidRPr="005D3B38">
        <w:rPr>
          <w:rFonts w:ascii="ITC New Baskerville Std" w:hAnsi="ITC New Baskerville Std"/>
        </w:rPr>
        <w:t xml:space="preserve"> fomentará a mobilidades de estudantes e profesorado.</w:t>
      </w:r>
    </w:p>
    <w:p w:rsidR="00412F06" w:rsidRPr="005D3B38" w:rsidRDefault="00412F06" w:rsidP="005D3B38">
      <w:pPr>
        <w:rPr>
          <w:rFonts w:ascii="ITC New Baskerville Std" w:hAnsi="ITC New Baskerville Std"/>
        </w:rPr>
      </w:pPr>
      <w:r w:rsidRPr="005D3B38">
        <w:rPr>
          <w:rFonts w:ascii="ITC New Baskerville Std" w:hAnsi="ITC New Baskerville Std"/>
        </w:rPr>
        <w:t>Cada Universidade facilitará aos estudantes matriculados no Doutoramento a utilización dos servizos de cada entidade (aulas de estudo, aulas informáticas, bibliotecas, laboratorios,...) para o adecuado desenvolvemento do programa.</w:t>
      </w:r>
    </w:p>
    <w:p w:rsidR="00412F06" w:rsidRPr="005D3B38" w:rsidRDefault="00412F06" w:rsidP="005D3B38">
      <w:pPr>
        <w:rPr>
          <w:rFonts w:ascii="ITC New Baskerville Std" w:hAnsi="ITC New Baskerville Std"/>
          <w:b/>
        </w:rPr>
      </w:pPr>
      <w:r w:rsidRPr="005D3B38">
        <w:rPr>
          <w:rFonts w:ascii="ITC New Baskerville Std" w:hAnsi="ITC New Baskerville Std"/>
        </w:rPr>
        <w:t>A mobilidade de profesores entre Universidades é considerada como un aspecto positivo de valor engadido. As Universidades asinantes fomentarán dentro das respectivas actividades formativas (transversais e específicas dentro do ámbito do programa de doutoramento) o intercambio de profesorado.</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DECIMOQUINTA.- Resolución e extinción</w:t>
      </w:r>
    </w:p>
    <w:p w:rsidR="00E12FCB" w:rsidRPr="00E12FCB" w:rsidRDefault="00E12FCB" w:rsidP="00E12FCB">
      <w:pPr>
        <w:rPr>
          <w:rFonts w:ascii="ITC New Baskerville Std" w:hAnsi="ITC New Baskerville Std"/>
        </w:rPr>
      </w:pPr>
      <w:r w:rsidRPr="00E12FCB">
        <w:rPr>
          <w:rFonts w:ascii="ITC New Baskerville Std" w:hAnsi="ITC New Baskerville Std"/>
        </w:rPr>
        <w:t>Son causas de resolución:</w:t>
      </w:r>
    </w:p>
    <w:p w:rsidR="00412F06" w:rsidRPr="005D3B38"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O transcurso do prazo de vixencia do convenio sen acordarse a prórroga do mesmo.</w:t>
      </w:r>
    </w:p>
    <w:p w:rsidR="00412F06" w:rsidRPr="005D3B38"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O transcurso do prazo máximo de vixencia do mesmo incluído o período de prórroga establecido no mesmo.</w:t>
      </w:r>
    </w:p>
    <w:p w:rsidR="00412F06"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O acordo unánime dos asinantes.</w:t>
      </w:r>
    </w:p>
    <w:p w:rsidR="00E12FCB"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O incumprimento das obrigas e compromisos asumidos por parte de algún dos asinantes.</w:t>
      </w:r>
    </w:p>
    <w:p w:rsidR="00E12FCB"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Por decisión xudicial declaratoria da nulidade do convenio</w:t>
      </w:r>
    </w:p>
    <w:p w:rsidR="00E12FCB" w:rsidRPr="005D3B38"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 xml:space="preserve">Por extinción </w:t>
      </w:r>
      <w:r>
        <w:rPr>
          <w:rFonts w:ascii="ITC New Baskerville Std" w:hAnsi="ITC New Baskerville Std"/>
        </w:rPr>
        <w:t>das ensinanzas obxecto do mesmo</w:t>
      </w:r>
    </w:p>
    <w:p w:rsidR="00412F06" w:rsidRPr="005D3B38" w:rsidRDefault="00412F06" w:rsidP="005D3B38">
      <w:pPr>
        <w:rPr>
          <w:rFonts w:ascii="ITC New Baskerville Std" w:hAnsi="ITC New Baskerville Std"/>
        </w:rPr>
      </w:pPr>
      <w:r w:rsidRPr="005D3B38">
        <w:rPr>
          <w:rFonts w:ascii="ITC New Baskerville Std" w:hAnsi="ITC New Baskerville Std"/>
        </w:rPr>
        <w:t>En caso de extinción ou resolución anticipada deste convenio deberán levarse a cabo todas as obrigas contraídas ata a data da súa resolución.</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DECIMOSEXTA. Natureza, Réxime Xurídico e Controversias</w:t>
      </w:r>
    </w:p>
    <w:p w:rsidR="00412F06" w:rsidRPr="005D3B38" w:rsidRDefault="00412F06" w:rsidP="005D3B38">
      <w:pPr>
        <w:rPr>
          <w:rFonts w:ascii="ITC New Baskerville Std" w:hAnsi="ITC New Baskerville Std"/>
        </w:rPr>
      </w:pPr>
      <w:r w:rsidRPr="005D3B38">
        <w:rPr>
          <w:rFonts w:ascii="ITC New Baskerville Std" w:hAnsi="ITC New Baskerville Std"/>
        </w:rPr>
        <w:t>Este convenio ten natureza administrativa e réxese polo disposto n</w:t>
      </w:r>
      <w:r w:rsidR="00772698">
        <w:rPr>
          <w:rFonts w:ascii="ITC New Baskerville Std" w:hAnsi="ITC New Baskerville Std"/>
        </w:rPr>
        <w:t>a lei 40/2015, de 1 de outubro, de Réxime Xurídico do Sector Público, po</w:t>
      </w:r>
      <w:r w:rsidRPr="005D3B38">
        <w:rPr>
          <w:rFonts w:ascii="ITC New Baskerville Std" w:hAnsi="ITC New Baskerville Std"/>
        </w:rPr>
        <w:t>lo artigo 4.1.c) do Texto Refundido da Lei de Contratos do Sector Público, aprobado polo Real Decreto Lexislativo 3/2011, de 14 de novembro</w:t>
      </w:r>
      <w:r w:rsidR="00772698">
        <w:rPr>
          <w:rFonts w:ascii="ITC New Baskerville Std" w:hAnsi="ITC New Baskerville Std"/>
        </w:rPr>
        <w:t xml:space="preserve"> e polo disposto na “Normativa reguladora do procedemento para tramitar e aprobar convenios na universidade de Vigo”</w:t>
      </w:r>
      <w:r w:rsidRPr="005D3B38">
        <w:rPr>
          <w:rFonts w:ascii="ITC New Baskerville Std" w:hAnsi="ITC New Baskerville Std"/>
        </w:rPr>
        <w:t>. O réxime xurídico virá determinado polas estipulacións previstas no presente convenio, sen prexuízo da aplicación dos principios da citada Lei de Contratos do Sector Público, para resolver as dúbidas  e  lagoas que puideran xurdir.</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As cuestións litixiosas que xurdan sobre a interpretación, modificación, resolución e efectos que puideran derivarse da aplicación do convenio e dos acordos específicos que se establezan como consecuencia do mesmo deberán </w:t>
      </w:r>
      <w:proofErr w:type="spellStart"/>
      <w:r w:rsidRPr="005D3B38">
        <w:rPr>
          <w:rFonts w:ascii="ITC New Baskerville Std" w:hAnsi="ITC New Baskerville Std"/>
        </w:rPr>
        <w:t>solventarse</w:t>
      </w:r>
      <w:proofErr w:type="spellEnd"/>
      <w:r w:rsidRPr="005D3B38">
        <w:rPr>
          <w:rFonts w:ascii="ITC New Baskerville Std" w:hAnsi="ITC New Baskerville Std"/>
        </w:rPr>
        <w:t>, de mutuo acordo, a través da Comisión de Seguimento prevista no convenio. No caso de non ser posible unha solución amigable, e resultar procedente litixio xudicial, as partes acordan someterse á  xurisdición e competencia dos Xulgados e Tribunais da Xurisdición Contencioso-Administrativa.</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DECIMOSÉTIMA.- Comisión de seguimento</w:t>
      </w:r>
    </w:p>
    <w:p w:rsidR="00412F06" w:rsidRPr="005D3B38" w:rsidRDefault="00412F06" w:rsidP="005D3B38">
      <w:pPr>
        <w:rPr>
          <w:rFonts w:ascii="ITC New Baskerville Std" w:hAnsi="ITC New Baskerville Std"/>
          <w:i/>
        </w:rPr>
      </w:pPr>
      <w:r w:rsidRPr="005D3B38">
        <w:rPr>
          <w:rFonts w:ascii="ITC New Baskerville Std" w:hAnsi="ITC New Baskerville Std"/>
          <w:i/>
        </w:rPr>
        <w:t>Por parte das Institucións asinantes do presente convenio, establecerase, se fose necesario, unha Comisión de Seguimento de composición paritaria, composta por un representante de cada unha das partes.</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Esta Comisión estará encargada de resolver as incidencias de interpretación e execución que puideran xurdir con ocasión do cumprimento do convenio. </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DECIMOOITAVA.- Entrada en vigor e vixencia do convenio</w:t>
      </w:r>
    </w:p>
    <w:p w:rsidR="00E12FCB" w:rsidRPr="00E12FCB" w:rsidRDefault="00E12FCB" w:rsidP="00E12FCB">
      <w:pPr>
        <w:rPr>
          <w:rFonts w:ascii="ITC New Baskerville Std" w:hAnsi="ITC New Baskerville Std"/>
        </w:rPr>
      </w:pPr>
      <w:r w:rsidRPr="00E12FCB">
        <w:rPr>
          <w:rFonts w:ascii="ITC New Baskerville Std" w:hAnsi="ITC New Baskerville Std"/>
        </w:rPr>
        <w:t xml:space="preserve">Este convenio empezará a producir os seus efectos a partir da data da súa sinatura e terá unha duración de 4 anos. </w:t>
      </w:r>
    </w:p>
    <w:p w:rsidR="00412F06" w:rsidRDefault="00E12FCB" w:rsidP="00E12FCB">
      <w:pPr>
        <w:rPr>
          <w:rFonts w:ascii="ITC New Baskerville Std" w:hAnsi="ITC New Baskerville Std"/>
        </w:rPr>
      </w:pPr>
      <w:r w:rsidRPr="00E12FCB">
        <w:rPr>
          <w:rFonts w:ascii="ITC New Baskerville Std" w:hAnsi="ITC New Baskerville Std"/>
        </w:rPr>
        <w:t>Non obstante, antes do remate do prazo previsto se as circunstancias o fan aconsellable, as partes por unanimidade poderán acordar a súa prórroga polo período estritamente necesario e sempre dentro do límite máximo de ata catro anos adicional establecido na Lei 40/2015, de 1 de outubro, de réxime xurídico do sector público.</w:t>
      </w:r>
    </w:p>
    <w:p w:rsidR="008B1D0F" w:rsidRPr="008B1D0F" w:rsidRDefault="008B1D0F" w:rsidP="00E12FCB">
      <w:pPr>
        <w:rPr>
          <w:rFonts w:ascii="ITC New Baskerville Std" w:hAnsi="ITC New Baskerville Std"/>
          <w:b/>
        </w:rPr>
      </w:pPr>
      <w:r w:rsidRPr="008B1D0F">
        <w:rPr>
          <w:rFonts w:ascii="ITC New Baskerville Std" w:hAnsi="ITC New Baskerville Std"/>
          <w:b/>
        </w:rPr>
        <w:t>DECIMONOVENA.-</w:t>
      </w:r>
      <w:r w:rsidR="002B3D06">
        <w:rPr>
          <w:rFonts w:ascii="ITC New Baskerville Std" w:hAnsi="ITC New Baskerville Std"/>
          <w:b/>
        </w:rPr>
        <w:t xml:space="preserve"> Protección de datos</w:t>
      </w:r>
    </w:p>
    <w:p w:rsidR="00BD245E" w:rsidRPr="00BD245E" w:rsidRDefault="00BD245E" w:rsidP="00BD245E">
      <w:pPr>
        <w:rPr>
          <w:rFonts w:ascii="ITC New Baskerville Std" w:hAnsi="ITC New Baskerville Std"/>
          <w:color w:val="FF0000"/>
        </w:rPr>
      </w:pPr>
      <w:r w:rsidRPr="00BD245E">
        <w:rPr>
          <w:rFonts w:ascii="ITC New Baskerville Std" w:hAnsi="ITC New Baskerville Std"/>
          <w:color w:val="FF0000"/>
        </w:rPr>
        <w:t>(ESCOLLER ENTRE A OPCIÓN A, B. OU C, DEBENDO QUEDAR NO CONVENIO UNHA SOA OPCIÓN)</w:t>
      </w:r>
    </w:p>
    <w:p w:rsidR="00BD245E" w:rsidRPr="00BD245E" w:rsidRDefault="00BD245E" w:rsidP="00BD245E">
      <w:pPr>
        <w:tabs>
          <w:tab w:val="left" w:pos="429"/>
        </w:tabs>
        <w:spacing w:line="22" w:lineRule="atLeast"/>
        <w:rPr>
          <w:rFonts w:ascii="ITC New Baskerville Std" w:hAnsi="ITC New Baskerville Std"/>
        </w:rPr>
      </w:pPr>
      <w:r w:rsidRPr="00BD245E">
        <w:rPr>
          <w:rFonts w:ascii="ITC New Baskerville Std" w:hAnsi="ITC New Baskerville Std"/>
        </w:rPr>
        <w:t>OPCIÓN A</w:t>
      </w:r>
    </w:p>
    <w:p w:rsidR="00BD245E" w:rsidRPr="00BD245E" w:rsidRDefault="00BD245E" w:rsidP="00BD245E">
      <w:pPr>
        <w:spacing w:before="120" w:after="120"/>
        <w:rPr>
          <w:rFonts w:ascii="ITC New Baskerville Std" w:hAnsi="ITC New Baskerville Std"/>
        </w:rPr>
      </w:pPr>
      <w:r w:rsidRPr="00BD245E">
        <w:rPr>
          <w:rFonts w:ascii="ITC New Baskerville Std" w:hAnsi="ITC New Baskerville Std"/>
        </w:rPr>
        <w:t>CLÁUSULA PARA CONVENIOS EN ESPAÑA OU CON PAÍSES DA UE (e ademais Liechtenstein, Islandia e Noruega)</w:t>
      </w:r>
    </w:p>
    <w:p w:rsidR="00BD245E" w:rsidRPr="00BD245E" w:rsidRDefault="00BD245E" w:rsidP="00BD245E">
      <w:pPr>
        <w:spacing w:before="60" w:after="60"/>
        <w:rPr>
          <w:rFonts w:ascii="ITC New Baskerville Std" w:hAnsi="ITC New Baskerville Std"/>
        </w:rPr>
      </w:pPr>
      <w:r w:rsidRPr="00BD245E">
        <w:rPr>
          <w:rFonts w:ascii="ITC New Baskerville Std" w:hAnsi="ITC New Baskerville Std"/>
        </w:rPr>
        <w:t>As partes manifestan que coñecen e compren a lexislación europea en materia de Protección de Datos de Carácter Persoal, á que se someten de forma expresa, comprometéndose a dar un uso debido aos datos de tal natureza que obteñan como consecuencia do desenvolvemento do presente convenio, no marco do disposto polo Regulamento (UE) 2016/679 do Parlamento Europeo e do Consello, de 27 de abril de 2016.</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As partes comprométense a tratar os datos de carácter persoal coa finalidade exclusiva de realizar o servizo.</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 xml:space="preserve">As partes comprométense a que os datos de carácter persoal non serán obxecto de ningún tratamento distinto aos previstos neste convenio. </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As partes comprométense a que os datos de carácter persoal non se cederán a terceiros, salvo nos casos en que exista unha obrigación legal.</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 xml:space="preserve">As persoas interesadas poderán exercer, no seu caso, os dereitos de acceso, rectificación, cancelación, oposición, limitación e </w:t>
      </w:r>
      <w:proofErr w:type="spellStart"/>
      <w:r w:rsidRPr="00BD245E">
        <w:rPr>
          <w:rFonts w:ascii="ITC New Baskerville Std" w:hAnsi="ITC New Baskerville Std"/>
        </w:rPr>
        <w:t>portabilidade</w:t>
      </w:r>
      <w:proofErr w:type="spellEnd"/>
      <w:r w:rsidRPr="00BD245E">
        <w:rPr>
          <w:rFonts w:ascii="ITC New Baskerville Std" w:hAnsi="ITC New Baskerville Std"/>
        </w:rPr>
        <w:t xml:space="preserve"> nos termos legais previstos, mediante a comunicación ao domicilio social da respectiva entidade. </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 entidade colaboradora adoptará as medidas adecuadas para limitar o acceso dos seus empregados aos datos persoais durante a vixencia deste convenio.</w:t>
      </w:r>
    </w:p>
    <w:p w:rsidR="00BD245E" w:rsidRPr="00BD245E" w:rsidRDefault="00BD245E" w:rsidP="00BD245E">
      <w:pPr>
        <w:tabs>
          <w:tab w:val="left" w:pos="429"/>
        </w:tabs>
        <w:spacing w:line="22" w:lineRule="atLeast"/>
        <w:rPr>
          <w:rFonts w:ascii="ITC New Baskerville Std" w:hAnsi="ITC New Baskerville Std"/>
        </w:rPr>
      </w:pPr>
      <w:r w:rsidRPr="00BD245E">
        <w:rPr>
          <w:rFonts w:ascii="ITC New Baskerville Std" w:hAnsi="ITC New Baskerville Std"/>
        </w:rPr>
        <w:t>Os datos de carácter persoal deberán ser destruídos ou devoltos, a criterio da Universidade de Vigo, unha vez finalizada a vixencia do convenio e no momento en que, en cumprimento das condicións pactadas ou legalmente previstas, remate a relación entre ambas partes; sen prexuízo das excepcións que a normativa e/ou as decisións xudiciais puidesen establecer con respecto ao mantemento temporal mínimo de certos datos que pola súa natureza así se requira. O mesmo destino haberá de darse a calquera soporte ou documento no que conste algún dato de carácter persoal obxecto de tratamento.</w:t>
      </w:r>
    </w:p>
    <w:p w:rsidR="00BD245E" w:rsidRPr="00BD245E" w:rsidRDefault="00BD245E" w:rsidP="00BD245E">
      <w:pPr>
        <w:tabs>
          <w:tab w:val="left" w:pos="429"/>
        </w:tabs>
        <w:spacing w:line="22" w:lineRule="atLeast"/>
        <w:rPr>
          <w:rFonts w:ascii="ITC New Baskerville Std" w:hAnsi="ITC New Baskerville Std"/>
        </w:rPr>
      </w:pPr>
    </w:p>
    <w:p w:rsidR="00BD245E" w:rsidRPr="00BD245E" w:rsidRDefault="00BD245E" w:rsidP="00BD245E">
      <w:pPr>
        <w:tabs>
          <w:tab w:val="left" w:pos="429"/>
        </w:tabs>
        <w:spacing w:line="22" w:lineRule="atLeast"/>
        <w:rPr>
          <w:rFonts w:ascii="ITC New Baskerville Std" w:hAnsi="ITC New Baskerville Std"/>
        </w:rPr>
      </w:pPr>
      <w:r w:rsidRPr="00BD245E">
        <w:rPr>
          <w:rFonts w:ascii="ITC New Baskerville Std" w:hAnsi="ITC New Baskerville Std"/>
        </w:rPr>
        <w:t>OPCIÓN B</w:t>
      </w:r>
    </w:p>
    <w:p w:rsidR="00BD245E" w:rsidRPr="00BD245E" w:rsidRDefault="00BD245E" w:rsidP="00BD245E">
      <w:pPr>
        <w:spacing w:before="120" w:after="120"/>
        <w:rPr>
          <w:rFonts w:ascii="ITC New Baskerville Std" w:hAnsi="ITC New Baskerville Std"/>
        </w:rPr>
      </w:pPr>
      <w:r w:rsidRPr="00BD245E">
        <w:rPr>
          <w:rFonts w:ascii="ITC New Baskerville Std" w:hAnsi="ITC New Baskerville Std"/>
        </w:rPr>
        <w:t>CLÁUSULA  PARA CONVENIOS CON PAÍSES DECLARADOS DE NIVEL ADECUADO POLA COMISIÓN EUROPEA</w:t>
      </w:r>
      <w:r w:rsidRPr="00BD245E">
        <w:rPr>
          <w:rFonts w:ascii="ITC New Baskerville Std" w:hAnsi="ITC New Baskerville Std"/>
        </w:rPr>
        <w:footnoteReference w:id="1"/>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As partes manifestan que coñecen e compren a lexislación europea en materia de Protección de Datos de Carácter Persoal, á que se someten expresamente, comprometéndose a dar un uso debido aos datos de tal natureza que obteñan como consecuencia do desenvolvemento do presente convenio, no marco do disposto polo Regulamento (UE) 2016/679, do Parlamento Europeo e do Consello, de 27 de abril de 2016, e na Decisión</w:t>
      </w:r>
      <w:r w:rsidRPr="00BD245E">
        <w:rPr>
          <w:rFonts w:ascii="ITC New Baskerville Std" w:hAnsi="ITC New Baskerville Std"/>
        </w:rPr>
        <w:footnoteReference w:id="2"/>
      </w:r>
      <w:r w:rsidRPr="00BD245E">
        <w:rPr>
          <w:rFonts w:ascii="ITC New Baskerville Std" w:hAnsi="ITC New Baskerville Std"/>
        </w:rPr>
        <w:t>.......................................................</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As partes comprométense a tratar os datos de carácter persoal coa finalidade exclusiva de realizar o servizo.</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 xml:space="preserve">As partes comprométense a que os datos de carácter persoal non serán obxecto de ningún tratamento distinto aos previstos neste convenio. </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 xml:space="preserve">As persoas interesadas poderán exercer, no seu caso, os dereitos de acceso, rectificación, cancelación, oposición, limitación e </w:t>
      </w:r>
      <w:proofErr w:type="spellStart"/>
      <w:r w:rsidRPr="00BD245E">
        <w:rPr>
          <w:rFonts w:ascii="ITC New Baskerville Std" w:hAnsi="ITC New Baskerville Std"/>
        </w:rPr>
        <w:t>portabilidade</w:t>
      </w:r>
      <w:proofErr w:type="spellEnd"/>
      <w:r w:rsidRPr="00BD245E">
        <w:rPr>
          <w:rFonts w:ascii="ITC New Baskerville Std" w:hAnsi="ITC New Baskerville Std"/>
        </w:rPr>
        <w:t xml:space="preserve"> nos termos legais previstos, mediante a comunicación ao domicilio social da respectiva entidade.</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 entidade colaboradora adoptará as medidas adecuadas para limitar o acceso dos seus empregados aos datos persoais durante a vixencia deste convenio.</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Os datos de carácter persoal deberán ser destruídos ou devoltos, a criterio da Universidade de Vigo, unha vez finalizada a vixencia do convenio e no momento en que, en cumprimento das condicións pactadas ou legalmente previstas, remate a relación entre ambas partes; sen prexuízo das excepcións que a normativa e/ou as decisións xudiciais puidesen establecer con respecto ao mantemento temporal mínimo de certos datos que pola súa natureza así se requira. O mesmo destino haberá de darse a calquera soporte ou documento no que conste algún dato de carácter persoal obxecto de tratamento.</w:t>
      </w:r>
    </w:p>
    <w:p w:rsidR="00BD245E" w:rsidRPr="00BD245E" w:rsidRDefault="00BD245E" w:rsidP="00BD245E">
      <w:pPr>
        <w:tabs>
          <w:tab w:val="left" w:pos="429"/>
        </w:tabs>
        <w:spacing w:line="22" w:lineRule="atLeast"/>
        <w:rPr>
          <w:rFonts w:ascii="ITC New Baskerville Std" w:hAnsi="ITC New Baskerville Std"/>
        </w:rPr>
      </w:pPr>
    </w:p>
    <w:p w:rsidR="00BD245E" w:rsidRPr="00BD245E" w:rsidRDefault="00BD245E" w:rsidP="00BD245E">
      <w:pPr>
        <w:tabs>
          <w:tab w:val="left" w:pos="429"/>
        </w:tabs>
        <w:spacing w:line="22" w:lineRule="atLeast"/>
        <w:rPr>
          <w:rFonts w:ascii="ITC New Baskerville Std" w:hAnsi="ITC New Baskerville Std"/>
        </w:rPr>
      </w:pPr>
      <w:r w:rsidRPr="00BD245E">
        <w:rPr>
          <w:rFonts w:ascii="ITC New Baskerville Std" w:hAnsi="ITC New Baskerville Std"/>
        </w:rPr>
        <w:t>OPCIÓN C</w:t>
      </w:r>
    </w:p>
    <w:p w:rsidR="00BD245E" w:rsidRPr="00BD245E" w:rsidRDefault="00BD245E" w:rsidP="00BD245E">
      <w:pPr>
        <w:spacing w:before="120" w:after="120"/>
        <w:rPr>
          <w:rFonts w:ascii="ITC New Baskerville Std" w:hAnsi="ITC New Baskerville Std"/>
        </w:rPr>
      </w:pPr>
      <w:r w:rsidRPr="00BD245E">
        <w:rPr>
          <w:rFonts w:ascii="ITC New Baskerville Std" w:hAnsi="ITC New Baskerville Std"/>
        </w:rPr>
        <w:t>CLÁUSULA PARA CONVENIOS CON PAÍSES NON PERTENCENTES</w:t>
      </w:r>
      <w:bookmarkStart w:id="0" w:name="_GoBack"/>
      <w:bookmarkEnd w:id="0"/>
      <w:r w:rsidRPr="00BD245E">
        <w:rPr>
          <w:rFonts w:ascii="ITC New Baskerville Std" w:hAnsi="ITC New Baskerville Std"/>
        </w:rPr>
        <w:t xml:space="preserve"> Á UE E NON DECLARADOS ADECUADOS</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Ao tratarse dun país carente de lexislación equiparable ao Regulamento (UE) 2016/679, do Parlamento Europeo e do Consello, de 27 de abril de 2016, dunha decisión de adecuación ou das garantías adecuadas para a transferencia de datos de carácter persoal dende a Unión Europea, dita transferencia soamente será posible se a persoa interesada deu explicitamente o seu consentimento á transferencia de datos, tras ser informada dos posibles riscos para ela das devanditas transferencias debido á ausencia dunha decisión de adecuación ou das garantías adecuadas.</w:t>
      </w:r>
    </w:p>
    <w:p w:rsidR="008B1D0F" w:rsidRPr="005D3B38" w:rsidRDefault="008B1D0F" w:rsidP="00E12FCB">
      <w:pPr>
        <w:rPr>
          <w:rFonts w:ascii="ITC New Baskerville Std" w:hAnsi="ITC New Baskerville Std"/>
        </w:rPr>
      </w:pPr>
    </w:p>
    <w:p w:rsidR="00BD5AA0" w:rsidRPr="005D3B38" w:rsidRDefault="00412F06" w:rsidP="00BD245E">
      <w:pPr>
        <w:ind w:left="-993"/>
        <w:rPr>
          <w:rFonts w:ascii="ITC New Baskerville Std" w:hAnsi="ITC New Baskerville Std"/>
        </w:rPr>
      </w:pPr>
      <w:r w:rsidRPr="005D3B38">
        <w:rPr>
          <w:rFonts w:ascii="ITC New Baskerville Std" w:hAnsi="ITC New Baskerville Std"/>
        </w:rPr>
        <w:t>E en proba de conformidade e aceptación, firman o presente convenio, por cuadriplicado orixi</w:t>
      </w:r>
      <w:r w:rsidR="00A477E8">
        <w:rPr>
          <w:rFonts w:ascii="ITC New Baskerville Std" w:hAnsi="ITC New Baskerville Std"/>
        </w:rPr>
        <w:t>nais, no lugar e data indicados no inicio.</w:t>
      </w:r>
    </w:p>
    <w:tbl>
      <w:tblPr>
        <w:tblW w:w="10967" w:type="dxa"/>
        <w:jc w:val="center"/>
        <w:tblLook w:val="00A0" w:firstRow="1" w:lastRow="0" w:firstColumn="1" w:lastColumn="0" w:noHBand="0" w:noVBand="0"/>
      </w:tblPr>
      <w:tblGrid>
        <w:gridCol w:w="4260"/>
        <w:gridCol w:w="3353"/>
        <w:gridCol w:w="3354"/>
      </w:tblGrid>
      <w:tr w:rsidR="00412F06" w:rsidRPr="005D3B38">
        <w:trPr>
          <w:jc w:val="center"/>
        </w:trPr>
        <w:tc>
          <w:tcPr>
            <w:tcW w:w="4260" w:type="dxa"/>
            <w:vAlign w:val="center"/>
          </w:tcPr>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Pola Universidade de Santiago de Compostela</w:t>
            </w:r>
          </w:p>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O Reitor</w:t>
            </w:r>
          </w:p>
        </w:tc>
        <w:tc>
          <w:tcPr>
            <w:tcW w:w="3353" w:type="dxa"/>
            <w:vAlign w:val="center"/>
          </w:tcPr>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Pola Universidade da Coruña</w:t>
            </w:r>
          </w:p>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O Reitor</w:t>
            </w:r>
          </w:p>
        </w:tc>
        <w:tc>
          <w:tcPr>
            <w:tcW w:w="3354" w:type="dxa"/>
            <w:vAlign w:val="center"/>
          </w:tcPr>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Pola Universidade de Vigo</w:t>
            </w:r>
          </w:p>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O Reitor</w:t>
            </w:r>
          </w:p>
        </w:tc>
      </w:tr>
      <w:tr w:rsidR="00412F06" w:rsidRPr="005D3B38">
        <w:trPr>
          <w:jc w:val="center"/>
        </w:trPr>
        <w:tc>
          <w:tcPr>
            <w:tcW w:w="4260" w:type="dxa"/>
            <w:vAlign w:val="center"/>
          </w:tcPr>
          <w:p w:rsidR="00412F06" w:rsidRPr="005D3B38" w:rsidRDefault="00412F06" w:rsidP="00044A9E">
            <w:pPr>
              <w:suppressAutoHyphens/>
              <w:jc w:val="left"/>
              <w:rPr>
                <w:rFonts w:ascii="ITC New Baskerville Std" w:hAnsi="ITC New Baskerville Std" w:cs="Arial"/>
                <w:spacing w:val="-3"/>
              </w:rPr>
            </w:pPr>
          </w:p>
        </w:tc>
        <w:tc>
          <w:tcPr>
            <w:tcW w:w="3353" w:type="dxa"/>
            <w:vAlign w:val="center"/>
          </w:tcPr>
          <w:p w:rsidR="00412F06" w:rsidRPr="005D3B38" w:rsidRDefault="00412F06" w:rsidP="00044A9E">
            <w:pPr>
              <w:suppressAutoHyphens/>
              <w:jc w:val="left"/>
              <w:rPr>
                <w:rFonts w:ascii="ITC New Baskerville Std" w:hAnsi="ITC New Baskerville Std" w:cs="Arial"/>
                <w:spacing w:val="-3"/>
              </w:rPr>
            </w:pPr>
          </w:p>
        </w:tc>
        <w:tc>
          <w:tcPr>
            <w:tcW w:w="3354" w:type="dxa"/>
            <w:vAlign w:val="center"/>
          </w:tcPr>
          <w:p w:rsidR="00412F06" w:rsidRPr="005D3B38" w:rsidRDefault="00412F06" w:rsidP="00044A9E">
            <w:pPr>
              <w:suppressAutoHyphens/>
              <w:jc w:val="left"/>
              <w:rPr>
                <w:rFonts w:ascii="ITC New Baskerville Std" w:hAnsi="ITC New Baskerville Std" w:cs="Arial"/>
                <w:spacing w:val="-3"/>
              </w:rPr>
            </w:pPr>
          </w:p>
        </w:tc>
      </w:tr>
      <w:tr w:rsidR="00412F06" w:rsidRPr="005D3B38">
        <w:trPr>
          <w:jc w:val="center"/>
        </w:trPr>
        <w:tc>
          <w:tcPr>
            <w:tcW w:w="4260" w:type="dxa"/>
            <w:vAlign w:val="center"/>
          </w:tcPr>
          <w:p w:rsidR="00412F06" w:rsidRPr="005D3B38" w:rsidRDefault="00412F06" w:rsidP="00044A9E">
            <w:pPr>
              <w:suppressAutoHyphens/>
              <w:jc w:val="left"/>
              <w:rPr>
                <w:rFonts w:ascii="ITC New Baskerville Std" w:hAnsi="ITC New Baskerville Std" w:cs="Arial"/>
                <w:spacing w:val="-3"/>
              </w:rPr>
            </w:pPr>
          </w:p>
        </w:tc>
        <w:tc>
          <w:tcPr>
            <w:tcW w:w="3353" w:type="dxa"/>
            <w:vAlign w:val="center"/>
          </w:tcPr>
          <w:p w:rsidR="00412F06" w:rsidRPr="005D3B38" w:rsidRDefault="00412F06" w:rsidP="00044A9E">
            <w:pPr>
              <w:suppressAutoHyphens/>
              <w:jc w:val="left"/>
              <w:rPr>
                <w:rFonts w:ascii="ITC New Baskerville Std" w:hAnsi="ITC New Baskerville Std" w:cs="Arial"/>
                <w:spacing w:val="-3"/>
              </w:rPr>
            </w:pPr>
          </w:p>
        </w:tc>
        <w:tc>
          <w:tcPr>
            <w:tcW w:w="3354" w:type="dxa"/>
            <w:vAlign w:val="center"/>
          </w:tcPr>
          <w:p w:rsidR="00412F06" w:rsidRPr="005D3B38" w:rsidRDefault="00412F06" w:rsidP="00044A9E">
            <w:pPr>
              <w:suppressAutoHyphens/>
              <w:jc w:val="left"/>
              <w:rPr>
                <w:rFonts w:ascii="ITC New Baskerville Std" w:hAnsi="ITC New Baskerville Std" w:cs="Arial"/>
                <w:spacing w:val="-3"/>
              </w:rPr>
            </w:pPr>
          </w:p>
        </w:tc>
      </w:tr>
      <w:tr w:rsidR="00412F06" w:rsidRPr="005D3B38">
        <w:trPr>
          <w:jc w:val="center"/>
        </w:trPr>
        <w:tc>
          <w:tcPr>
            <w:tcW w:w="4260" w:type="dxa"/>
            <w:vAlign w:val="center"/>
          </w:tcPr>
          <w:p w:rsidR="00412F06" w:rsidRPr="005D3B38" w:rsidRDefault="000D53F7" w:rsidP="00044A9E">
            <w:pPr>
              <w:suppressAutoHyphens/>
              <w:jc w:val="left"/>
              <w:rPr>
                <w:rFonts w:ascii="ITC New Baskerville Std" w:hAnsi="ITC New Baskerville Std" w:cs="Arial"/>
                <w:spacing w:val="-3"/>
              </w:rPr>
            </w:pPr>
            <w:proofErr w:type="spellStart"/>
            <w:r>
              <w:rPr>
                <w:rFonts w:ascii="ITC New Baskerville Std" w:hAnsi="ITC New Baskerville Std" w:cs="Arial"/>
                <w:spacing w:val="-3"/>
              </w:rPr>
              <w:t>Asdo</w:t>
            </w:r>
            <w:proofErr w:type="spellEnd"/>
            <w:r>
              <w:rPr>
                <w:rFonts w:ascii="ITC New Baskerville Std" w:hAnsi="ITC New Baskerville Std" w:cs="Arial"/>
                <w:spacing w:val="-3"/>
              </w:rPr>
              <w:t>.: Antonio López Díaz</w:t>
            </w:r>
          </w:p>
        </w:tc>
        <w:tc>
          <w:tcPr>
            <w:tcW w:w="3353" w:type="dxa"/>
            <w:vAlign w:val="center"/>
          </w:tcPr>
          <w:p w:rsidR="00412F06" w:rsidRPr="005D3B38" w:rsidRDefault="00412F06" w:rsidP="00044A9E">
            <w:pPr>
              <w:suppressAutoHyphens/>
              <w:jc w:val="left"/>
              <w:rPr>
                <w:rFonts w:ascii="ITC New Baskerville Std" w:hAnsi="ITC New Baskerville Std" w:cs="Arial"/>
                <w:spacing w:val="-3"/>
              </w:rPr>
            </w:pPr>
            <w:proofErr w:type="spellStart"/>
            <w:r w:rsidRPr="005D3B38">
              <w:rPr>
                <w:rFonts w:ascii="ITC New Baskerville Std" w:hAnsi="ITC New Baskerville Std" w:cs="Arial"/>
                <w:spacing w:val="-3"/>
              </w:rPr>
              <w:t>Asdo</w:t>
            </w:r>
            <w:proofErr w:type="spellEnd"/>
            <w:r w:rsidRPr="005D3B38">
              <w:rPr>
                <w:rFonts w:ascii="ITC New Baskerville Std" w:hAnsi="ITC New Baskerville Std" w:cs="Arial"/>
                <w:spacing w:val="-3"/>
              </w:rPr>
              <w:t>.: Xosé Luís Armesto Barbeito</w:t>
            </w:r>
          </w:p>
        </w:tc>
        <w:tc>
          <w:tcPr>
            <w:tcW w:w="3354" w:type="dxa"/>
            <w:vAlign w:val="center"/>
          </w:tcPr>
          <w:p w:rsidR="00412F06" w:rsidRPr="005D3B38" w:rsidRDefault="00412F06" w:rsidP="00E71B82">
            <w:pPr>
              <w:suppressAutoHyphens/>
              <w:jc w:val="left"/>
              <w:rPr>
                <w:rFonts w:ascii="ITC New Baskerville Std" w:hAnsi="ITC New Baskerville Std" w:cs="Arial"/>
                <w:spacing w:val="-3"/>
              </w:rPr>
            </w:pPr>
            <w:proofErr w:type="spellStart"/>
            <w:r w:rsidRPr="005D3B38">
              <w:rPr>
                <w:rFonts w:ascii="ITC New Baskerville Std" w:hAnsi="ITC New Baskerville Std" w:cs="Arial"/>
                <w:spacing w:val="-3"/>
              </w:rPr>
              <w:t>Asdo</w:t>
            </w:r>
            <w:proofErr w:type="spellEnd"/>
            <w:r w:rsidRPr="005D3B38">
              <w:rPr>
                <w:rFonts w:ascii="ITC New Baskerville Std" w:hAnsi="ITC New Baskerville Std" w:cs="Arial"/>
                <w:spacing w:val="-3"/>
              </w:rPr>
              <w:t xml:space="preserve">.: </w:t>
            </w:r>
            <w:r w:rsidR="00E71B82">
              <w:rPr>
                <w:rFonts w:ascii="ITC New Baskerville Std" w:hAnsi="ITC New Baskerville Std" w:cs="Arial"/>
                <w:spacing w:val="-3"/>
              </w:rPr>
              <w:t xml:space="preserve">Manuel </w:t>
            </w:r>
            <w:proofErr w:type="spellStart"/>
            <w:r w:rsidR="00E71B82">
              <w:rPr>
                <w:rFonts w:ascii="ITC New Baskerville Std" w:hAnsi="ITC New Baskerville Std" w:cs="Arial"/>
                <w:spacing w:val="-3"/>
              </w:rPr>
              <w:t>Joaquín</w:t>
            </w:r>
            <w:proofErr w:type="spellEnd"/>
            <w:r w:rsidR="00E71B82">
              <w:rPr>
                <w:rFonts w:ascii="ITC New Baskerville Std" w:hAnsi="ITC New Baskerville Std" w:cs="Arial"/>
                <w:spacing w:val="-3"/>
              </w:rPr>
              <w:t xml:space="preserve"> </w:t>
            </w:r>
            <w:proofErr w:type="spellStart"/>
            <w:r w:rsidR="00E71B82">
              <w:rPr>
                <w:rFonts w:ascii="ITC New Baskerville Std" w:hAnsi="ITC New Baskerville Std" w:cs="Arial"/>
                <w:spacing w:val="-3"/>
              </w:rPr>
              <w:t>Reigosa</w:t>
            </w:r>
            <w:proofErr w:type="spellEnd"/>
            <w:r w:rsidR="00E71B82">
              <w:rPr>
                <w:rFonts w:ascii="ITC New Baskerville Std" w:hAnsi="ITC New Baskerville Std" w:cs="Arial"/>
                <w:spacing w:val="-3"/>
              </w:rPr>
              <w:t xml:space="preserve"> </w:t>
            </w:r>
            <w:proofErr w:type="spellStart"/>
            <w:r w:rsidR="00E71B82">
              <w:rPr>
                <w:rFonts w:ascii="ITC New Baskerville Std" w:hAnsi="ITC New Baskerville Std" w:cs="Arial"/>
                <w:spacing w:val="-3"/>
              </w:rPr>
              <w:t>Roger</w:t>
            </w:r>
            <w:proofErr w:type="spellEnd"/>
          </w:p>
        </w:tc>
      </w:tr>
    </w:tbl>
    <w:p w:rsidR="00412F06" w:rsidRPr="005D3B38" w:rsidRDefault="00412F06" w:rsidP="00044A9E">
      <w:pPr>
        <w:suppressAutoHyphens/>
        <w:jc w:val="left"/>
        <w:rPr>
          <w:rFonts w:ascii="ITC New Baskerville Std" w:hAnsi="ITC New Baskerville Std"/>
          <w:spacing w:val="-3"/>
        </w:rPr>
      </w:pPr>
    </w:p>
    <w:sectPr w:rsidR="00412F06" w:rsidRPr="005D3B38" w:rsidSect="00E30FFB">
      <w:headerReference w:type="default" r:id="rId7"/>
      <w:footerReference w:type="default" r:id="rId8"/>
      <w:pgSz w:w="11906" w:h="16838"/>
      <w:pgMar w:top="13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D8" w:rsidRDefault="00254AD8" w:rsidP="00BA24AE">
      <w:pPr>
        <w:spacing w:before="0" w:after="0" w:line="240" w:lineRule="auto"/>
      </w:pPr>
      <w:r>
        <w:separator/>
      </w:r>
    </w:p>
  </w:endnote>
  <w:endnote w:type="continuationSeparator" w:id="0">
    <w:p w:rsidR="00254AD8" w:rsidRDefault="00254AD8" w:rsidP="00BA24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ITC New Baskerville Std">
    <w:altName w:val="Baskerville Old Face"/>
    <w:panose1 w:val="00000000000000000000"/>
    <w:charset w:val="00"/>
    <w:family w:val="roman"/>
    <w:notTrueType/>
    <w:pitch w:val="variable"/>
    <w:sig w:usb0="800000AF" w:usb1="5000204A"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page" w:tblpX="550" w:tblpY="-222"/>
      <w:tblW w:w="11165" w:type="dxa"/>
      <w:tblBorders>
        <w:top w:val="single" w:sz="2" w:space="0" w:color="auto"/>
      </w:tblBorders>
      <w:tblLayout w:type="fixed"/>
      <w:tblLook w:val="01E0" w:firstRow="1" w:lastRow="1" w:firstColumn="1" w:lastColumn="1" w:noHBand="0" w:noVBand="0"/>
    </w:tblPr>
    <w:tblGrid>
      <w:gridCol w:w="5070"/>
      <w:gridCol w:w="1984"/>
      <w:gridCol w:w="4111"/>
    </w:tblGrid>
    <w:tr w:rsidR="00697521" w:rsidTr="008624D9">
      <w:trPr>
        <w:trHeight w:val="1436"/>
      </w:trPr>
      <w:tc>
        <w:tcPr>
          <w:tcW w:w="5070" w:type="dxa"/>
          <w:shd w:val="clear" w:color="auto" w:fill="auto"/>
        </w:tcPr>
        <w:p w:rsidR="00697521" w:rsidRDefault="00697521" w:rsidP="002B2453">
          <w:pPr>
            <w:pStyle w:val="logo"/>
            <w:framePr w:hSpace="0" w:wrap="auto" w:vAnchor="margin" w:hAnchor="text" w:xAlign="left" w:yAlign="inline"/>
          </w:pPr>
          <w:r>
            <w:rPr>
              <w:noProof/>
              <w:lang w:val="es-ES" w:eastAsia="es-ES"/>
            </w:rPr>
            <w:drawing>
              <wp:inline distT="0" distB="0" distL="0" distR="0">
                <wp:extent cx="2463800" cy="444500"/>
                <wp:effectExtent l="25400" t="0" r="0" b="0"/>
                <wp:docPr id="3" name="Picture 1"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01"/>
                        <pic:cNvPicPr>
                          <a:picLocks noChangeAspect="1" noChangeArrowheads="1"/>
                        </pic:cNvPicPr>
                      </pic:nvPicPr>
                      <pic:blipFill>
                        <a:blip r:embed="rId1"/>
                        <a:srcRect/>
                        <a:stretch>
                          <a:fillRect/>
                        </a:stretch>
                      </pic:blipFill>
                      <pic:spPr bwMode="auto">
                        <a:xfrm>
                          <a:off x="0" y="0"/>
                          <a:ext cx="2463800" cy="444500"/>
                        </a:xfrm>
                        <a:prstGeom prst="rect">
                          <a:avLst/>
                        </a:prstGeom>
                        <a:noFill/>
                        <a:ln w="9525">
                          <a:noFill/>
                          <a:miter lim="800000"/>
                          <a:headEnd/>
                          <a:tailEnd/>
                        </a:ln>
                      </pic:spPr>
                    </pic:pic>
                  </a:graphicData>
                </a:graphic>
              </wp:inline>
            </w:drawing>
          </w:r>
        </w:p>
      </w:tc>
      <w:tc>
        <w:tcPr>
          <w:tcW w:w="1984" w:type="dxa"/>
          <w:tcBorders>
            <w:top w:val="single" w:sz="4" w:space="0" w:color="auto"/>
            <w:bottom w:val="nil"/>
          </w:tcBorders>
        </w:tcPr>
        <w:p w:rsidR="00697521" w:rsidRPr="00FB31FB" w:rsidRDefault="00697521" w:rsidP="002B2453">
          <w:pPr>
            <w:pStyle w:val="NomeCentro"/>
          </w:pPr>
          <w:r>
            <w:rPr>
              <w:noProof/>
              <w:lang w:val="es-ES" w:eastAsia="es-ES"/>
            </w:rPr>
            <w:drawing>
              <wp:inline distT="0" distB="0" distL="0" distR="0">
                <wp:extent cx="597535" cy="358521"/>
                <wp:effectExtent l="25400" t="0" r="1206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97535" cy="358521"/>
                        </a:xfrm>
                        <a:prstGeom prst="rect">
                          <a:avLst/>
                        </a:prstGeom>
                        <a:noFill/>
                        <a:ln w="9525">
                          <a:noFill/>
                          <a:miter lim="800000"/>
                          <a:headEnd/>
                          <a:tailEnd/>
                        </a:ln>
                      </pic:spPr>
                    </pic:pic>
                  </a:graphicData>
                </a:graphic>
              </wp:inline>
            </w:drawing>
          </w:r>
        </w:p>
      </w:tc>
      <w:tc>
        <w:tcPr>
          <w:tcW w:w="4111" w:type="dxa"/>
          <w:tcBorders>
            <w:top w:val="single" w:sz="4" w:space="0" w:color="auto"/>
            <w:bottom w:val="nil"/>
          </w:tcBorders>
        </w:tcPr>
        <w:p w:rsidR="00697521" w:rsidRPr="00FB31FB" w:rsidRDefault="00697521" w:rsidP="002B2453">
          <w:pPr>
            <w:pStyle w:val="Enderezo"/>
            <w:ind w:left="0"/>
          </w:pPr>
          <w:r>
            <w:rPr>
              <w:noProof/>
              <w:lang w:val="es-ES" w:eastAsia="es-ES"/>
            </w:rPr>
            <w:drawing>
              <wp:inline distT="0" distB="0" distL="0" distR="0">
                <wp:extent cx="2176708" cy="250384"/>
                <wp:effectExtent l="25400" t="0" r="7692"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2176708" cy="250384"/>
                        </a:xfrm>
                        <a:prstGeom prst="rect">
                          <a:avLst/>
                        </a:prstGeom>
                        <a:noFill/>
                        <a:ln w="9525">
                          <a:noFill/>
                          <a:miter lim="800000"/>
                          <a:headEnd/>
                          <a:tailEnd/>
                        </a:ln>
                      </pic:spPr>
                    </pic:pic>
                  </a:graphicData>
                </a:graphic>
              </wp:inline>
            </w:drawing>
          </w:r>
        </w:p>
      </w:tc>
    </w:tr>
  </w:tbl>
  <w:p w:rsidR="00697521" w:rsidRDefault="006975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D8" w:rsidRDefault="00254AD8" w:rsidP="00BA24AE">
      <w:pPr>
        <w:spacing w:before="0" w:after="0" w:line="240" w:lineRule="auto"/>
      </w:pPr>
      <w:r>
        <w:separator/>
      </w:r>
    </w:p>
  </w:footnote>
  <w:footnote w:type="continuationSeparator" w:id="0">
    <w:p w:rsidR="00254AD8" w:rsidRDefault="00254AD8" w:rsidP="00BA24AE">
      <w:pPr>
        <w:spacing w:before="0" w:after="0" w:line="240" w:lineRule="auto"/>
      </w:pPr>
      <w:r>
        <w:continuationSeparator/>
      </w:r>
    </w:p>
  </w:footnote>
  <w:footnote w:id="1">
    <w:p w:rsidR="00BD245E" w:rsidRPr="004A3B1E" w:rsidRDefault="00BD245E" w:rsidP="00BD245E">
      <w:pPr>
        <w:pStyle w:val="Textonotapie"/>
        <w:rPr>
          <w:lang w:val="es-ES"/>
        </w:rPr>
      </w:pPr>
      <w:r>
        <w:rPr>
          <w:rStyle w:val="Refdenotaalpie"/>
        </w:rPr>
        <w:footnoteRef/>
      </w:r>
      <w:r>
        <w:t xml:space="preserve"> </w:t>
      </w:r>
      <w:r w:rsidRPr="00342CBC">
        <w:rPr>
          <w:rFonts w:ascii="Arial" w:hAnsi="Arial" w:cs="Arial"/>
          <w:spacing w:val="-4"/>
          <w:sz w:val="16"/>
          <w:szCs w:val="16"/>
        </w:rPr>
        <w:t xml:space="preserve">Os destinatarios declarados adecuados pola Comisión Europea ata a data son os seguintes países: Suíza, Canadá, Arxentina, </w:t>
      </w:r>
      <w:proofErr w:type="spellStart"/>
      <w:r w:rsidRPr="00342CBC">
        <w:rPr>
          <w:rFonts w:ascii="Arial" w:hAnsi="Arial" w:cs="Arial"/>
          <w:spacing w:val="-4"/>
          <w:sz w:val="16"/>
          <w:szCs w:val="16"/>
        </w:rPr>
        <w:t>Guernsey</w:t>
      </w:r>
      <w:proofErr w:type="spellEnd"/>
      <w:r w:rsidRPr="00342CBC">
        <w:rPr>
          <w:rFonts w:ascii="Arial" w:hAnsi="Arial" w:cs="Arial"/>
          <w:spacing w:val="-4"/>
          <w:sz w:val="16"/>
          <w:szCs w:val="16"/>
        </w:rPr>
        <w:t>, Illa de Man, Xersei, Illas Feroe, Andorra, Israel, Uruguai, Nova Zelandia e Estados Unidos.</w:t>
      </w:r>
    </w:p>
  </w:footnote>
  <w:footnote w:id="2">
    <w:p w:rsidR="00BD245E" w:rsidRPr="004A3B1E" w:rsidRDefault="00BD245E" w:rsidP="00BD245E">
      <w:pPr>
        <w:pStyle w:val="Textonotapie"/>
        <w:rPr>
          <w:lang w:val="es-ES"/>
        </w:rPr>
      </w:pPr>
      <w:r>
        <w:rPr>
          <w:rStyle w:val="Refdenotaalpie"/>
        </w:rPr>
        <w:footnoteRef/>
      </w:r>
      <w:r>
        <w:t xml:space="preserve"> </w:t>
      </w:r>
      <w:r w:rsidRPr="00342CBC">
        <w:rPr>
          <w:rFonts w:ascii="Arial" w:hAnsi="Arial" w:cs="Arial"/>
          <w:spacing w:val="-4"/>
          <w:sz w:val="16"/>
          <w:szCs w:val="16"/>
        </w:rPr>
        <w:t xml:space="preserve">Dependendo do lugar onde se encontre a entidade haberá que engadir unha decisión ou outra. </w:t>
      </w:r>
      <w:r w:rsidRPr="00342CBC">
        <w:rPr>
          <w:rFonts w:ascii="Arial" w:hAnsi="Arial" w:cs="Arial"/>
          <w:spacing w:val="-4"/>
          <w:sz w:val="16"/>
          <w:szCs w:val="16"/>
        </w:rPr>
        <w:t xml:space="preserve">O listado das Decisións atópase na </w:t>
      </w:r>
      <w:proofErr w:type="spellStart"/>
      <w:r w:rsidRPr="00342CBC">
        <w:rPr>
          <w:rFonts w:ascii="Arial" w:hAnsi="Arial" w:cs="Arial"/>
          <w:spacing w:val="-4"/>
          <w:sz w:val="16"/>
          <w:szCs w:val="16"/>
        </w:rPr>
        <w:t>web</w:t>
      </w:r>
      <w:proofErr w:type="spellEnd"/>
      <w:r w:rsidRPr="00342CBC">
        <w:rPr>
          <w:rFonts w:ascii="Arial" w:hAnsi="Arial" w:cs="Arial"/>
          <w:spacing w:val="-4"/>
          <w:sz w:val="16"/>
          <w:szCs w:val="16"/>
        </w:rPr>
        <w:t xml:space="preserve">: </w:t>
      </w:r>
      <w:hyperlink r:id="rId1" w:history="1">
        <w:r w:rsidR="00353109" w:rsidRPr="00353109">
          <w:rPr>
            <w:rStyle w:val="Hipervnculo"/>
            <w:rFonts w:ascii="Arial" w:hAnsi="Arial" w:cs="Arial"/>
            <w:sz w:val="16"/>
            <w:szCs w:val="16"/>
          </w:rPr>
          <w:t>https://www.aepd.es/es/derechos-y-deberes/cumple-tus-deberes/medidas-de-cumplimiento/transferencias-internacionales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1" w:type="dxa"/>
      <w:tblInd w:w="-1044" w:type="dxa"/>
      <w:tblBorders>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4954"/>
      <w:gridCol w:w="2489"/>
      <w:gridCol w:w="1762"/>
      <w:gridCol w:w="1846"/>
    </w:tblGrid>
    <w:tr w:rsidR="00697521" w:rsidTr="004502C6">
      <w:trPr>
        <w:trHeight w:val="1436"/>
      </w:trPr>
      <w:tc>
        <w:tcPr>
          <w:tcW w:w="4954" w:type="dxa"/>
          <w:vMerge w:val="restart"/>
          <w:tcBorders>
            <w:top w:val="single" w:sz="2" w:space="0" w:color="auto"/>
          </w:tcBorders>
          <w:shd w:val="clear" w:color="auto" w:fill="auto"/>
        </w:tcPr>
        <w:p w:rsidR="00697521" w:rsidRPr="00E30FFB" w:rsidRDefault="00697521" w:rsidP="00E30FFB">
          <w:pPr>
            <w:spacing w:line="240" w:lineRule="auto"/>
            <w:jc w:val="left"/>
            <w:rPr>
              <w:rFonts w:ascii="ITC New Baskerville Std" w:hAnsi="ITC New Baskerville Std"/>
              <w:b/>
            </w:rPr>
          </w:pPr>
          <w:r w:rsidRPr="00E30FFB">
            <w:rPr>
              <w:rFonts w:ascii="ITC New Baskerville Std" w:hAnsi="ITC New Baskerville Std"/>
              <w:b/>
            </w:rPr>
            <w:t xml:space="preserve">CONVENIO DE COLABORACIÓN ENTRE </w:t>
          </w:r>
          <w:r>
            <w:rPr>
              <w:rFonts w:ascii="ITC New Baskerville Std" w:hAnsi="ITC New Baskerville Std"/>
              <w:b/>
            </w:rPr>
            <w:br/>
          </w:r>
          <w:r w:rsidRPr="00E30FFB">
            <w:rPr>
              <w:rFonts w:ascii="ITC New Baskerville Std" w:hAnsi="ITC New Baskerville Std"/>
              <w:b/>
            </w:rPr>
            <w:t>A</w:t>
          </w:r>
          <w:r>
            <w:rPr>
              <w:rFonts w:ascii="ITC New Baskerville Std" w:hAnsi="ITC New Baskerville Std"/>
              <w:b/>
            </w:rPr>
            <w:t>S</w:t>
          </w:r>
          <w:r w:rsidRPr="00E30FFB">
            <w:rPr>
              <w:rFonts w:ascii="ITC New Baskerville Std" w:hAnsi="ITC New Baskerville Std"/>
              <w:b/>
            </w:rPr>
            <w:t xml:space="preserve"> UNIVERSIDADE</w:t>
          </w:r>
          <w:r>
            <w:rPr>
              <w:rFonts w:ascii="ITC New Baskerville Std" w:hAnsi="ITC New Baskerville Std"/>
              <w:b/>
            </w:rPr>
            <w:t>S.</w:t>
          </w:r>
          <w:r w:rsidRPr="00E30FFB">
            <w:rPr>
              <w:rFonts w:ascii="ITC New Baskerville Std" w:hAnsi="ITC New Baskerville Std"/>
              <w:b/>
            </w:rPr>
            <w:t xml:space="preserve"> </w:t>
          </w:r>
          <w:r>
            <w:rPr>
              <w:rFonts w:ascii="ITC New Baskerville Std" w:hAnsi="ITC New Baskerville Std"/>
              <w:b/>
            </w:rPr>
            <w:br/>
          </w:r>
          <w:r>
            <w:rPr>
              <w:rFonts w:ascii="ITC New Baskerville Std" w:hAnsi="ITC New Baskerville Std"/>
              <w:b/>
            </w:rPr>
            <w:br/>
          </w:r>
          <w:r>
            <w:rPr>
              <w:rFonts w:ascii="ITC New Baskerville Std" w:hAnsi="ITC New Baskerville Std"/>
              <w:i/>
              <w:sz w:val="22"/>
            </w:rPr>
            <w:t>O</w:t>
          </w:r>
          <w:r w:rsidRPr="00E30FFB">
            <w:rPr>
              <w:rFonts w:ascii="ITC New Baskerville Std" w:hAnsi="ITC New Baskerville Std"/>
              <w:i/>
              <w:sz w:val="22"/>
            </w:rPr>
            <w:t>rganización e desenvolvemento das ensinanzas oficiais do programa de doutoramento</w:t>
          </w:r>
          <w:r w:rsidRPr="00E30FFB">
            <w:rPr>
              <w:rFonts w:ascii="ITC New Baskerville Std" w:hAnsi="ITC New Baskerville Std"/>
              <w:b/>
            </w:rPr>
            <w:t xml:space="preserve"> "</w:t>
          </w:r>
          <w:r w:rsidRPr="00E30FFB">
            <w:rPr>
              <w:rFonts w:ascii="ITC New Baskerville Std" w:hAnsi="ITC New Baskerville Std"/>
              <w:b/>
              <w:highlight w:val="yellow"/>
            </w:rPr>
            <w:t>XXXXXXXX</w:t>
          </w:r>
          <w:r w:rsidRPr="00E30FFB">
            <w:rPr>
              <w:rFonts w:ascii="ITC New Baskerville Std" w:hAnsi="ITC New Baskerville Std"/>
              <w:b/>
            </w:rPr>
            <w:t xml:space="preserve">" </w:t>
          </w:r>
          <w:r>
            <w:rPr>
              <w:rFonts w:ascii="ITC New Baskerville Std" w:hAnsi="ITC New Baskerville Std"/>
              <w:b/>
            </w:rPr>
            <w:t xml:space="preserve"> </w:t>
          </w:r>
        </w:p>
        <w:p w:rsidR="00697521" w:rsidRPr="000E013C" w:rsidRDefault="00697521" w:rsidP="00E30FFB">
          <w:pPr>
            <w:pStyle w:val="Encabezado"/>
            <w:widowControl w:val="0"/>
            <w:ind w:firstLine="28"/>
            <w:jc w:val="left"/>
          </w:pPr>
          <w:r w:rsidRPr="000E013C">
            <w:br/>
          </w:r>
        </w:p>
      </w:tc>
      <w:tc>
        <w:tcPr>
          <w:tcW w:w="4251" w:type="dxa"/>
          <w:gridSpan w:val="2"/>
          <w:tcBorders>
            <w:top w:val="single" w:sz="2" w:space="0" w:color="auto"/>
          </w:tcBorders>
          <w:shd w:val="clear" w:color="auto" w:fill="auto"/>
        </w:tcPr>
        <w:p w:rsidR="00697521" w:rsidRPr="000128BA" w:rsidRDefault="00697521" w:rsidP="00E30FFB">
          <w:pPr>
            <w:pStyle w:val="Enderezo"/>
            <w:ind w:left="0"/>
          </w:pPr>
        </w:p>
      </w:tc>
      <w:tc>
        <w:tcPr>
          <w:tcW w:w="1846" w:type="dxa"/>
          <w:tcBorders>
            <w:top w:val="single" w:sz="2" w:space="0" w:color="auto"/>
          </w:tcBorders>
          <w:shd w:val="clear" w:color="auto" w:fill="auto"/>
        </w:tcPr>
        <w:p w:rsidR="00697521" w:rsidRPr="00C66FD9" w:rsidRDefault="00697521" w:rsidP="00C66FD9">
          <w:pPr>
            <w:pStyle w:val="Piedepgina"/>
            <w:jc w:val="left"/>
            <w:rPr>
              <w:rFonts w:ascii="ITC New Baskerville Std" w:hAnsi="ITC New Baskerville Std" w:cs="Arial"/>
              <w:sz w:val="16"/>
              <w:szCs w:val="16"/>
            </w:rPr>
          </w:pPr>
          <w:r w:rsidRPr="00C66FD9">
            <w:rPr>
              <w:rFonts w:ascii="ITC New Baskerville Std" w:hAnsi="ITC New Baskerville Std" w:cs="Arial"/>
              <w:sz w:val="16"/>
              <w:szCs w:val="16"/>
            </w:rPr>
            <w:t xml:space="preserve">Páxina </w:t>
          </w:r>
          <w:r w:rsidRPr="00C66FD9">
            <w:rPr>
              <w:rFonts w:ascii="ITC New Baskerville Std" w:hAnsi="ITC New Baskerville Std" w:cs="Arial"/>
              <w:sz w:val="16"/>
              <w:szCs w:val="16"/>
            </w:rPr>
            <w:fldChar w:fldCharType="begin"/>
          </w:r>
          <w:r w:rsidRPr="00C66FD9">
            <w:rPr>
              <w:rFonts w:ascii="ITC New Baskerville Std" w:hAnsi="ITC New Baskerville Std" w:cs="Arial"/>
              <w:sz w:val="16"/>
              <w:szCs w:val="16"/>
            </w:rPr>
            <w:instrText>PAGE</w:instrText>
          </w:r>
          <w:r w:rsidRPr="00C66FD9">
            <w:rPr>
              <w:rFonts w:ascii="ITC New Baskerville Std" w:hAnsi="ITC New Baskerville Std" w:cs="Arial"/>
              <w:sz w:val="16"/>
              <w:szCs w:val="16"/>
            </w:rPr>
            <w:fldChar w:fldCharType="separate"/>
          </w:r>
          <w:r w:rsidR="00353109">
            <w:rPr>
              <w:rFonts w:ascii="ITC New Baskerville Std" w:hAnsi="ITC New Baskerville Std" w:cs="Arial"/>
              <w:noProof/>
              <w:sz w:val="16"/>
              <w:szCs w:val="16"/>
            </w:rPr>
            <w:t>17</w:t>
          </w:r>
          <w:r w:rsidRPr="00C66FD9">
            <w:rPr>
              <w:rFonts w:ascii="ITC New Baskerville Std" w:hAnsi="ITC New Baskerville Std" w:cs="Arial"/>
              <w:sz w:val="16"/>
              <w:szCs w:val="16"/>
            </w:rPr>
            <w:fldChar w:fldCharType="end"/>
          </w:r>
          <w:r w:rsidRPr="00C66FD9">
            <w:rPr>
              <w:rFonts w:ascii="ITC New Baskerville Std" w:hAnsi="ITC New Baskerville Std" w:cs="Arial"/>
              <w:sz w:val="16"/>
              <w:szCs w:val="16"/>
            </w:rPr>
            <w:t xml:space="preserve"> de </w:t>
          </w:r>
          <w:r w:rsidRPr="00C66FD9">
            <w:rPr>
              <w:rFonts w:ascii="ITC New Baskerville Std" w:hAnsi="ITC New Baskerville Std" w:cs="Arial"/>
              <w:sz w:val="16"/>
              <w:szCs w:val="16"/>
            </w:rPr>
            <w:fldChar w:fldCharType="begin"/>
          </w:r>
          <w:r w:rsidRPr="00C66FD9">
            <w:rPr>
              <w:rFonts w:ascii="ITC New Baskerville Std" w:hAnsi="ITC New Baskerville Std" w:cs="Arial"/>
              <w:sz w:val="16"/>
              <w:szCs w:val="16"/>
            </w:rPr>
            <w:instrText>NUMPAGES</w:instrText>
          </w:r>
          <w:r w:rsidRPr="00C66FD9">
            <w:rPr>
              <w:rFonts w:ascii="ITC New Baskerville Std" w:hAnsi="ITC New Baskerville Std" w:cs="Arial"/>
              <w:sz w:val="16"/>
              <w:szCs w:val="16"/>
            </w:rPr>
            <w:fldChar w:fldCharType="separate"/>
          </w:r>
          <w:r w:rsidR="00353109">
            <w:rPr>
              <w:rFonts w:ascii="ITC New Baskerville Std" w:hAnsi="ITC New Baskerville Std" w:cs="Arial"/>
              <w:noProof/>
              <w:sz w:val="16"/>
              <w:szCs w:val="16"/>
            </w:rPr>
            <w:t>17</w:t>
          </w:r>
          <w:r w:rsidRPr="00C66FD9">
            <w:rPr>
              <w:rFonts w:ascii="ITC New Baskerville Std" w:hAnsi="ITC New Baskerville Std" w:cs="Arial"/>
              <w:sz w:val="16"/>
              <w:szCs w:val="16"/>
            </w:rPr>
            <w:fldChar w:fldCharType="end"/>
          </w:r>
        </w:p>
        <w:p w:rsidR="00697521" w:rsidRPr="000128BA" w:rsidRDefault="00697521" w:rsidP="00E30FFB">
          <w:pPr>
            <w:pStyle w:val="Enderezocomprimido"/>
            <w:rPr>
              <w:spacing w:val="0"/>
            </w:rPr>
          </w:pPr>
        </w:p>
      </w:tc>
    </w:tr>
    <w:tr w:rsidR="00697521" w:rsidTr="004502C6">
      <w:trPr>
        <w:trHeight w:val="115"/>
      </w:trPr>
      <w:tc>
        <w:tcPr>
          <w:tcW w:w="4954" w:type="dxa"/>
          <w:vMerge/>
          <w:tcBorders>
            <w:top w:val="single" w:sz="2" w:space="0" w:color="FFFFFF"/>
          </w:tcBorders>
          <w:shd w:val="clear" w:color="auto" w:fill="auto"/>
        </w:tcPr>
        <w:p w:rsidR="00697521" w:rsidRDefault="00697521" w:rsidP="00E30FFB">
          <w:pPr>
            <w:pStyle w:val="logo"/>
            <w:framePr w:hSpace="0" w:wrap="auto" w:vAnchor="margin" w:hAnchor="text" w:xAlign="left" w:yAlign="inline"/>
          </w:pPr>
        </w:p>
      </w:tc>
      <w:tc>
        <w:tcPr>
          <w:tcW w:w="2489" w:type="dxa"/>
          <w:shd w:val="clear" w:color="auto" w:fill="auto"/>
        </w:tcPr>
        <w:p w:rsidR="00697521" w:rsidRDefault="00697521" w:rsidP="00E30FFB">
          <w:pPr>
            <w:pStyle w:val="CampusVigo"/>
          </w:pPr>
        </w:p>
      </w:tc>
      <w:tc>
        <w:tcPr>
          <w:tcW w:w="3608" w:type="dxa"/>
          <w:gridSpan w:val="2"/>
          <w:shd w:val="clear" w:color="auto" w:fill="auto"/>
        </w:tcPr>
        <w:p w:rsidR="00697521" w:rsidRDefault="00697521" w:rsidP="00E30FFB">
          <w:pPr>
            <w:pStyle w:val="Enderezocomprimido"/>
          </w:pPr>
        </w:p>
      </w:tc>
    </w:tr>
  </w:tbl>
  <w:p w:rsidR="00697521" w:rsidRDefault="006975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57D"/>
    <w:multiLevelType w:val="hybridMultilevel"/>
    <w:tmpl w:val="6B622EC0"/>
    <w:lvl w:ilvl="0" w:tplc="E3AE131C">
      <w:numFmt w:val="bullet"/>
      <w:lvlText w:val="–"/>
      <w:lvlJc w:val="left"/>
      <w:pPr>
        <w:ind w:left="1065" w:hanging="705"/>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C451E7"/>
    <w:multiLevelType w:val="hybridMultilevel"/>
    <w:tmpl w:val="C7EA0AF0"/>
    <w:lvl w:ilvl="0" w:tplc="8E828A4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77D9C"/>
    <w:multiLevelType w:val="hybridMultilevel"/>
    <w:tmpl w:val="43CC7A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6410D0"/>
    <w:multiLevelType w:val="hybridMultilevel"/>
    <w:tmpl w:val="4012699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106301"/>
    <w:multiLevelType w:val="hybridMultilevel"/>
    <w:tmpl w:val="B50CFA3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359B3158"/>
    <w:multiLevelType w:val="hybridMultilevel"/>
    <w:tmpl w:val="62CC95A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3A4C2E19"/>
    <w:multiLevelType w:val="hybridMultilevel"/>
    <w:tmpl w:val="2C341D7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44860DFC"/>
    <w:multiLevelType w:val="hybridMultilevel"/>
    <w:tmpl w:val="507C299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45A05390"/>
    <w:multiLevelType w:val="hybridMultilevel"/>
    <w:tmpl w:val="74123DB2"/>
    <w:lvl w:ilvl="0" w:tplc="5E7AE374">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F34B1E"/>
    <w:multiLevelType w:val="hybridMultilevel"/>
    <w:tmpl w:val="F878DF7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54DB13E5"/>
    <w:multiLevelType w:val="hybridMultilevel"/>
    <w:tmpl w:val="F5F2CA6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59042891"/>
    <w:multiLevelType w:val="hybridMultilevel"/>
    <w:tmpl w:val="FACA9FD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634F2B63"/>
    <w:multiLevelType w:val="hybridMultilevel"/>
    <w:tmpl w:val="4F7001C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6ED94019"/>
    <w:multiLevelType w:val="hybridMultilevel"/>
    <w:tmpl w:val="63C6061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6FA42381"/>
    <w:multiLevelType w:val="hybridMultilevel"/>
    <w:tmpl w:val="A5AE9E7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771F36A9"/>
    <w:multiLevelType w:val="hybridMultilevel"/>
    <w:tmpl w:val="8E304A5C"/>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4"/>
  </w:num>
  <w:num w:numId="4">
    <w:abstractNumId w:val="1"/>
  </w:num>
  <w:num w:numId="5">
    <w:abstractNumId w:val="3"/>
  </w:num>
  <w:num w:numId="6">
    <w:abstractNumId w:val="9"/>
  </w:num>
  <w:num w:numId="7">
    <w:abstractNumId w:val="5"/>
  </w:num>
  <w:num w:numId="8">
    <w:abstractNumId w:val="0"/>
  </w:num>
  <w:num w:numId="9">
    <w:abstractNumId w:val="7"/>
  </w:num>
  <w:num w:numId="10">
    <w:abstractNumId w:val="13"/>
  </w:num>
  <w:num w:numId="11">
    <w:abstractNumId w:val="11"/>
  </w:num>
  <w:num w:numId="12">
    <w:abstractNumId w:val="12"/>
  </w:num>
  <w:num w:numId="13">
    <w:abstractNumId w:val="10"/>
  </w:num>
  <w:num w:numId="14">
    <w:abstractNumId w:val="8"/>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CF"/>
    <w:rsid w:val="00044A9E"/>
    <w:rsid w:val="000475E4"/>
    <w:rsid w:val="00082F51"/>
    <w:rsid w:val="000A2D33"/>
    <w:rsid w:val="000C2891"/>
    <w:rsid w:val="000D53F7"/>
    <w:rsid w:val="000D5984"/>
    <w:rsid w:val="00105B74"/>
    <w:rsid w:val="001474D7"/>
    <w:rsid w:val="00184276"/>
    <w:rsid w:val="00193FCC"/>
    <w:rsid w:val="001B31C8"/>
    <w:rsid w:val="001F58C5"/>
    <w:rsid w:val="00254AD8"/>
    <w:rsid w:val="00255592"/>
    <w:rsid w:val="00286568"/>
    <w:rsid w:val="002B2453"/>
    <w:rsid w:val="002B3D06"/>
    <w:rsid w:val="002D06A4"/>
    <w:rsid w:val="002D6F95"/>
    <w:rsid w:val="00332E20"/>
    <w:rsid w:val="0033659A"/>
    <w:rsid w:val="00353109"/>
    <w:rsid w:val="003550DF"/>
    <w:rsid w:val="0035653A"/>
    <w:rsid w:val="00376540"/>
    <w:rsid w:val="003A2597"/>
    <w:rsid w:val="003C785F"/>
    <w:rsid w:val="003F4CF8"/>
    <w:rsid w:val="00410DAA"/>
    <w:rsid w:val="00412F06"/>
    <w:rsid w:val="00436EC7"/>
    <w:rsid w:val="004409CF"/>
    <w:rsid w:val="00446A43"/>
    <w:rsid w:val="004502C6"/>
    <w:rsid w:val="00461EAA"/>
    <w:rsid w:val="004843AE"/>
    <w:rsid w:val="00545A51"/>
    <w:rsid w:val="00592123"/>
    <w:rsid w:val="005C21F4"/>
    <w:rsid w:val="005C3EE9"/>
    <w:rsid w:val="005D3B38"/>
    <w:rsid w:val="005F3C67"/>
    <w:rsid w:val="006233B5"/>
    <w:rsid w:val="0063711D"/>
    <w:rsid w:val="006420D7"/>
    <w:rsid w:val="00662607"/>
    <w:rsid w:val="0069073D"/>
    <w:rsid w:val="00696BA4"/>
    <w:rsid w:val="00697521"/>
    <w:rsid w:val="006B483B"/>
    <w:rsid w:val="006C1229"/>
    <w:rsid w:val="006C1D43"/>
    <w:rsid w:val="006C7C82"/>
    <w:rsid w:val="006D55E3"/>
    <w:rsid w:val="007208A7"/>
    <w:rsid w:val="00735005"/>
    <w:rsid w:val="00746504"/>
    <w:rsid w:val="00772698"/>
    <w:rsid w:val="00783045"/>
    <w:rsid w:val="00783403"/>
    <w:rsid w:val="007B59F0"/>
    <w:rsid w:val="007E468C"/>
    <w:rsid w:val="00853599"/>
    <w:rsid w:val="008548D6"/>
    <w:rsid w:val="008554C5"/>
    <w:rsid w:val="008624D9"/>
    <w:rsid w:val="008B1CB2"/>
    <w:rsid w:val="008B1D0F"/>
    <w:rsid w:val="008F06F9"/>
    <w:rsid w:val="008F4FB0"/>
    <w:rsid w:val="00934B02"/>
    <w:rsid w:val="00940842"/>
    <w:rsid w:val="0094658C"/>
    <w:rsid w:val="009474A9"/>
    <w:rsid w:val="00966D31"/>
    <w:rsid w:val="009A40CF"/>
    <w:rsid w:val="009D2008"/>
    <w:rsid w:val="00A224A0"/>
    <w:rsid w:val="00A477E8"/>
    <w:rsid w:val="00A60D16"/>
    <w:rsid w:val="00A723A6"/>
    <w:rsid w:val="00A74688"/>
    <w:rsid w:val="00A77F86"/>
    <w:rsid w:val="00AA4EF2"/>
    <w:rsid w:val="00B34178"/>
    <w:rsid w:val="00B66296"/>
    <w:rsid w:val="00BA24AE"/>
    <w:rsid w:val="00BA61CA"/>
    <w:rsid w:val="00BB6810"/>
    <w:rsid w:val="00BD0671"/>
    <w:rsid w:val="00BD245E"/>
    <w:rsid w:val="00BD5AA0"/>
    <w:rsid w:val="00BE1AA0"/>
    <w:rsid w:val="00BE64E9"/>
    <w:rsid w:val="00BF7FDC"/>
    <w:rsid w:val="00C34B21"/>
    <w:rsid w:val="00C60169"/>
    <w:rsid w:val="00C64292"/>
    <w:rsid w:val="00C66FD9"/>
    <w:rsid w:val="00C82D61"/>
    <w:rsid w:val="00CB10D9"/>
    <w:rsid w:val="00CC5C98"/>
    <w:rsid w:val="00CE69E8"/>
    <w:rsid w:val="00D03948"/>
    <w:rsid w:val="00D3572D"/>
    <w:rsid w:val="00D35C8B"/>
    <w:rsid w:val="00DA6196"/>
    <w:rsid w:val="00DA6710"/>
    <w:rsid w:val="00DE35F9"/>
    <w:rsid w:val="00DE3B2D"/>
    <w:rsid w:val="00DE41D7"/>
    <w:rsid w:val="00DF1456"/>
    <w:rsid w:val="00E06350"/>
    <w:rsid w:val="00E12FCB"/>
    <w:rsid w:val="00E20E3A"/>
    <w:rsid w:val="00E26B00"/>
    <w:rsid w:val="00E30FFB"/>
    <w:rsid w:val="00E71B82"/>
    <w:rsid w:val="00EB13DD"/>
    <w:rsid w:val="00ED4176"/>
    <w:rsid w:val="00F0329D"/>
    <w:rsid w:val="00F32B1C"/>
    <w:rsid w:val="00F81E3C"/>
    <w:rsid w:val="00FB31FB"/>
    <w:rsid w:val="00FF0D6F"/>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F6927-D954-4DA6-8C3C-3174F13A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4D7"/>
    <w:pPr>
      <w:spacing w:before="240" w:after="240" w:line="360" w:lineRule="auto"/>
      <w:jc w:val="both"/>
    </w:pPr>
    <w:rPr>
      <w:rFonts w:ascii="Arial" w:hAnsi="Arial"/>
      <w:sz w:val="20"/>
      <w:lang w:val="gl-ES"/>
    </w:rPr>
  </w:style>
  <w:style w:type="paragraph" w:styleId="Ttulo1">
    <w:name w:val="heading 1"/>
    <w:basedOn w:val="Normal"/>
    <w:next w:val="Normal"/>
    <w:link w:val="Ttulo1Car"/>
    <w:uiPriority w:val="99"/>
    <w:qFormat/>
    <w:rsid w:val="00D03948"/>
    <w:pPr>
      <w:keepNext/>
      <w:keepLines/>
      <w:spacing w:before="480" w:after="0"/>
      <w:outlineLvl w:val="0"/>
    </w:pPr>
    <w:rPr>
      <w:b/>
      <w:b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03948"/>
    <w:rPr>
      <w:rFonts w:ascii="Arial" w:hAnsi="Arial" w:cs="Times New Roman"/>
      <w:b/>
      <w:bCs/>
      <w:sz w:val="28"/>
      <w:szCs w:val="28"/>
    </w:rPr>
  </w:style>
  <w:style w:type="paragraph" w:styleId="Prrafodelista">
    <w:name w:val="List Paragraph"/>
    <w:basedOn w:val="Normal"/>
    <w:uiPriority w:val="34"/>
    <w:qFormat/>
    <w:rsid w:val="00DF1456"/>
    <w:pPr>
      <w:ind w:left="720"/>
      <w:contextualSpacing/>
    </w:pPr>
  </w:style>
  <w:style w:type="paragraph" w:customStyle="1" w:styleId="Artigo">
    <w:name w:val="Artigo"/>
    <w:basedOn w:val="Normal"/>
    <w:link w:val="ArtigoCar"/>
    <w:uiPriority w:val="99"/>
    <w:rsid w:val="00ED4176"/>
    <w:pPr>
      <w:spacing w:before="480" w:after="0" w:line="240" w:lineRule="auto"/>
    </w:pPr>
    <w:rPr>
      <w:b/>
      <w:szCs w:val="20"/>
    </w:rPr>
  </w:style>
  <w:style w:type="character" w:styleId="Ttulodellibro">
    <w:name w:val="Book Title"/>
    <w:basedOn w:val="Fuentedeprrafopredeter"/>
    <w:uiPriority w:val="99"/>
    <w:qFormat/>
    <w:rsid w:val="00ED4176"/>
    <w:rPr>
      <w:rFonts w:cs="Times New Roman"/>
      <w:b/>
      <w:spacing w:val="5"/>
    </w:rPr>
  </w:style>
  <w:style w:type="character" w:customStyle="1" w:styleId="ArtigoCar">
    <w:name w:val="Artigo Car"/>
    <w:link w:val="Artigo"/>
    <w:uiPriority w:val="99"/>
    <w:locked/>
    <w:rsid w:val="00ED4176"/>
    <w:rPr>
      <w:rFonts w:ascii="Arial" w:hAnsi="Arial"/>
      <w:b/>
      <w:sz w:val="20"/>
      <w:lang w:val="gl-ES" w:eastAsia="es-ES"/>
    </w:rPr>
  </w:style>
  <w:style w:type="table" w:styleId="Tablaconcuadrcula">
    <w:name w:val="Table Grid"/>
    <w:basedOn w:val="Tablanormal"/>
    <w:uiPriority w:val="99"/>
    <w:rsid w:val="001F58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BA24AE"/>
    <w:pPr>
      <w:tabs>
        <w:tab w:val="center" w:pos="4252"/>
        <w:tab w:val="right" w:pos="8504"/>
      </w:tabs>
    </w:pPr>
  </w:style>
  <w:style w:type="character" w:customStyle="1" w:styleId="EncabezadoCar">
    <w:name w:val="Encabezado Car"/>
    <w:basedOn w:val="Fuentedeprrafopredeter"/>
    <w:link w:val="Encabezado"/>
    <w:locked/>
    <w:rsid w:val="00BA24AE"/>
    <w:rPr>
      <w:rFonts w:ascii="Arial" w:hAnsi="Arial" w:cs="Times New Roman"/>
      <w:sz w:val="22"/>
      <w:szCs w:val="22"/>
      <w:lang w:val="gl-ES"/>
    </w:rPr>
  </w:style>
  <w:style w:type="paragraph" w:styleId="Piedepgina">
    <w:name w:val="footer"/>
    <w:basedOn w:val="Normal"/>
    <w:link w:val="PiedepginaCar"/>
    <w:uiPriority w:val="99"/>
    <w:rsid w:val="00BA24AE"/>
    <w:pPr>
      <w:tabs>
        <w:tab w:val="center" w:pos="4252"/>
        <w:tab w:val="right" w:pos="8504"/>
      </w:tabs>
    </w:pPr>
  </w:style>
  <w:style w:type="character" w:customStyle="1" w:styleId="PiedepginaCar">
    <w:name w:val="Pie de página Car"/>
    <w:basedOn w:val="Fuentedeprrafopredeter"/>
    <w:link w:val="Piedepgina"/>
    <w:uiPriority w:val="99"/>
    <w:locked/>
    <w:rsid w:val="00BA24AE"/>
    <w:rPr>
      <w:rFonts w:ascii="Arial" w:hAnsi="Arial" w:cs="Times New Roman"/>
      <w:sz w:val="22"/>
      <w:szCs w:val="22"/>
      <w:lang w:val="gl-ES"/>
    </w:rPr>
  </w:style>
  <w:style w:type="paragraph" w:customStyle="1" w:styleId="logo">
    <w:name w:val="logo"/>
    <w:basedOn w:val="Encabezado"/>
    <w:autoRedefine/>
    <w:rsid w:val="00E30FFB"/>
    <w:pPr>
      <w:framePr w:hSpace="141" w:wrap="around" w:vAnchor="text" w:hAnchor="page" w:x="490" w:y="-93"/>
      <w:spacing w:before="60" w:after="0" w:line="240" w:lineRule="auto"/>
      <w:contextualSpacing/>
      <w:jc w:val="left"/>
    </w:pPr>
    <w:rPr>
      <w:rFonts w:ascii="ITC New Baskerville Std" w:eastAsia="Cambria" w:hAnsi="ITC New Baskerville Std"/>
      <w:sz w:val="16"/>
      <w:szCs w:val="24"/>
      <w:lang w:eastAsia="en-US"/>
    </w:rPr>
  </w:style>
  <w:style w:type="paragraph" w:customStyle="1" w:styleId="Enderezo">
    <w:name w:val="Enderezo"/>
    <w:basedOn w:val="Normal"/>
    <w:link w:val="EnderezoCar"/>
    <w:autoRedefine/>
    <w:qFormat/>
    <w:rsid w:val="00E30FFB"/>
    <w:pPr>
      <w:tabs>
        <w:tab w:val="left" w:pos="429"/>
        <w:tab w:val="center" w:pos="4252"/>
        <w:tab w:val="right" w:pos="8504"/>
        <w:tab w:val="right" w:pos="9674"/>
      </w:tabs>
      <w:spacing w:before="60" w:after="0" w:line="240" w:lineRule="auto"/>
      <w:ind w:left="-102"/>
      <w:contextualSpacing/>
      <w:jc w:val="left"/>
    </w:pPr>
    <w:rPr>
      <w:rFonts w:ascii="ITC New Baskerville Std" w:eastAsia="Cambria" w:hAnsi="ITC New Baskerville Std"/>
      <w:sz w:val="16"/>
      <w:szCs w:val="24"/>
      <w:lang w:eastAsia="en-US"/>
    </w:rPr>
  </w:style>
  <w:style w:type="character" w:customStyle="1" w:styleId="EnderezoCar">
    <w:name w:val="Enderezo Car"/>
    <w:basedOn w:val="Fuentedeprrafopredeter"/>
    <w:link w:val="Enderezo"/>
    <w:rsid w:val="00E30FFB"/>
    <w:rPr>
      <w:rFonts w:ascii="ITC New Baskerville Std" w:eastAsia="Cambria" w:hAnsi="ITC New Baskerville Std"/>
      <w:sz w:val="16"/>
      <w:szCs w:val="24"/>
      <w:lang w:val="gl-ES" w:eastAsia="en-US"/>
    </w:rPr>
  </w:style>
  <w:style w:type="paragraph" w:customStyle="1" w:styleId="Enderezocomprimido">
    <w:name w:val="Enderezo_comprimido"/>
    <w:basedOn w:val="Enderezo"/>
    <w:rsid w:val="00E30FFB"/>
    <w:rPr>
      <w:spacing w:val="-6"/>
      <w:szCs w:val="16"/>
    </w:rPr>
  </w:style>
  <w:style w:type="paragraph" w:customStyle="1" w:styleId="CampusVigo">
    <w:name w:val="Campus_Vigo"/>
    <w:basedOn w:val="Normal"/>
    <w:rsid w:val="00E30FFB"/>
    <w:pPr>
      <w:spacing w:before="60" w:after="0" w:line="240" w:lineRule="auto"/>
      <w:ind w:left="-108"/>
      <w:jc w:val="left"/>
    </w:pPr>
    <w:rPr>
      <w:rFonts w:ascii="ITC New Baskerville Std" w:hAnsi="ITC New Baskerville Std"/>
      <w:i/>
      <w:color w:val="0094E0"/>
      <w:spacing w:val="-8"/>
      <w:position w:val="4"/>
      <w:sz w:val="17"/>
      <w:szCs w:val="24"/>
      <w:lang w:eastAsia="en-US"/>
    </w:rPr>
  </w:style>
  <w:style w:type="paragraph" w:customStyle="1" w:styleId="NomeCentro">
    <w:name w:val="Nome_Centro"/>
    <w:basedOn w:val="Normal"/>
    <w:rsid w:val="002B2453"/>
    <w:pPr>
      <w:tabs>
        <w:tab w:val="left" w:pos="429"/>
        <w:tab w:val="center" w:pos="4252"/>
        <w:tab w:val="right" w:pos="9674"/>
      </w:tabs>
      <w:spacing w:before="60" w:after="0" w:line="240" w:lineRule="auto"/>
      <w:ind w:left="-108"/>
      <w:contextualSpacing/>
      <w:jc w:val="left"/>
    </w:pPr>
    <w:rPr>
      <w:rFonts w:ascii="ITC New Baskerville Std" w:hAnsi="ITC New Baskerville Std"/>
      <w:color w:val="59178A"/>
      <w:spacing w:val="-14"/>
      <w:position w:val="4"/>
      <w:sz w:val="22"/>
      <w:szCs w:val="24"/>
      <w:lang w:eastAsia="en-US"/>
    </w:rPr>
  </w:style>
  <w:style w:type="paragraph" w:styleId="Textodeglobo">
    <w:name w:val="Balloon Text"/>
    <w:basedOn w:val="Normal"/>
    <w:link w:val="TextodegloboCar"/>
    <w:uiPriority w:val="99"/>
    <w:semiHidden/>
    <w:unhideWhenUsed/>
    <w:rsid w:val="005D3B38"/>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B38"/>
    <w:rPr>
      <w:rFonts w:ascii="Tahoma" w:hAnsi="Tahoma" w:cs="Tahoma"/>
      <w:sz w:val="16"/>
      <w:szCs w:val="16"/>
      <w:lang w:val="gl-ES"/>
    </w:rPr>
  </w:style>
  <w:style w:type="paragraph" w:styleId="Textonotapie">
    <w:name w:val="footnote text"/>
    <w:basedOn w:val="Normal"/>
    <w:link w:val="TextonotapieCar"/>
    <w:uiPriority w:val="99"/>
    <w:semiHidden/>
    <w:unhideWhenUsed/>
    <w:rsid w:val="008B1D0F"/>
    <w:pPr>
      <w:spacing w:before="0" w:after="0" w:line="240" w:lineRule="auto"/>
      <w:jc w:val="left"/>
    </w:pPr>
    <w:rPr>
      <w:rFonts w:ascii="Calibri" w:eastAsia="Calibri" w:hAnsi="Calibri"/>
      <w:szCs w:val="20"/>
      <w:lang w:eastAsia="en-US"/>
    </w:rPr>
  </w:style>
  <w:style w:type="character" w:customStyle="1" w:styleId="TextonotapieCar">
    <w:name w:val="Texto nota pie Car"/>
    <w:basedOn w:val="Fuentedeprrafopredeter"/>
    <w:link w:val="Textonotapie"/>
    <w:uiPriority w:val="99"/>
    <w:semiHidden/>
    <w:rsid w:val="008B1D0F"/>
    <w:rPr>
      <w:rFonts w:eastAsia="Calibri"/>
      <w:sz w:val="20"/>
      <w:szCs w:val="20"/>
      <w:lang w:val="gl-ES" w:eastAsia="en-US"/>
    </w:rPr>
  </w:style>
  <w:style w:type="character" w:styleId="Refdenotaalpie">
    <w:name w:val="footnote reference"/>
    <w:uiPriority w:val="99"/>
    <w:semiHidden/>
    <w:unhideWhenUsed/>
    <w:rsid w:val="008B1D0F"/>
    <w:rPr>
      <w:vertAlign w:val="superscript"/>
    </w:rPr>
  </w:style>
  <w:style w:type="character" w:styleId="Hipervnculo">
    <w:name w:val="Hyperlink"/>
    <w:uiPriority w:val="99"/>
    <w:unhideWhenUsed/>
    <w:rsid w:val="008B1D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aepd.es/es/derechos-y-deberes/cumple-tus-deberes/medidas-de-cumplimiento/transferencias-internacion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17</Pages>
  <Words>4374</Words>
  <Characters>24059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CONVENIO DE COLABORACIÓN ENTRE A UNIVERSIDADE DE XXX A UNIVERSIDADE DE XXX, E A UNIVERSIDADE DE XXX PARA LEVAR A CABO, CONXUNTAMENTE, A ORGANIZACIÓN E DESENVOLVEMENTO DAS ENSINANZAS OFICIAIS DO PROGRAMA DE DOUTORAMENTO "XXXXXXXX" </vt:lpstr>
    </vt:vector>
  </TitlesOfParts>
  <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ENTRE A UNIVERSIDADE DE XXX A UNIVERSIDADE DE XXX, E A UNIVERSIDADE DE XXX PARA LEVAR A CABO, CONXUNTAMENTE, A ORGANIZACIÓN E DESENVOLVEMENTO DAS ENSINANZAS OFICIAIS DO PROGRAMA DE DOUTORAMENTO "XXXXXXXX"</dc:title>
  <dc:subject/>
  <dc:creator>charo</dc:creator>
  <cp:keywords/>
  <dc:description/>
  <cp:lastModifiedBy>sxeral04</cp:lastModifiedBy>
  <cp:revision>14</cp:revision>
  <cp:lastPrinted>2012-11-29T07:31:00Z</cp:lastPrinted>
  <dcterms:created xsi:type="dcterms:W3CDTF">2017-05-23T09:08:00Z</dcterms:created>
  <dcterms:modified xsi:type="dcterms:W3CDTF">2020-11-24T08:08:00Z</dcterms:modified>
</cp:coreProperties>
</file>