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89" w:rsidRDefault="00015789">
      <w:pPr>
        <w:rPr>
          <w:lang w:eastAsia="gl-ES"/>
        </w:rPr>
      </w:pPr>
    </w:p>
    <w:p w:rsidR="00015789" w:rsidRDefault="00015789">
      <w:pPr>
        <w:jc w:val="right"/>
      </w:pPr>
    </w:p>
    <w:p w:rsidR="00015789" w:rsidRDefault="00015789">
      <w:pPr>
        <w:jc w:val="right"/>
      </w:pPr>
    </w:p>
    <w:p w:rsidR="00015789" w:rsidRDefault="00A1685B">
      <w:pPr>
        <w:rPr>
          <w:sz w:val="24"/>
          <w:szCs w:val="24"/>
        </w:rPr>
      </w:pPr>
      <w:r>
        <w:rPr>
          <w:b/>
          <w:color w:val="2C1C65"/>
          <w:sz w:val="24"/>
          <w:szCs w:val="24"/>
        </w:rPr>
        <w:t>SISTEMA DE GARANTÍA DE CALIDADE DOS CENTROS (GRAOS E MESTRADOS)</w:t>
      </w:r>
    </w:p>
    <w:p w:rsidR="00015789" w:rsidRDefault="00015789"/>
    <w:p w:rsidR="00015789" w:rsidRDefault="00A1685B">
      <w:r>
        <w:t>PROCEDEMENTO</w:t>
      </w:r>
    </w:p>
    <w:p w:rsidR="00015789" w:rsidRDefault="00A1685B">
      <w:pPr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Seguimento e Melloras das titulacións</w:t>
      </w:r>
    </w:p>
    <w:p w:rsidR="00015789" w:rsidRDefault="00A1685B">
      <w:r>
        <w:t xml:space="preserve">CÓDIGO </w:t>
      </w:r>
      <w:r>
        <w:rPr>
          <w:color w:val="2C1C65"/>
          <w:sz w:val="28"/>
          <w:szCs w:val="28"/>
        </w:rPr>
        <w:t>DO-0102</w:t>
      </w:r>
      <w:r>
        <w:t xml:space="preserve">    ÍNDICE </w:t>
      </w:r>
      <w:r>
        <w:rPr>
          <w:color w:val="2C1C65"/>
          <w:sz w:val="28"/>
          <w:szCs w:val="28"/>
        </w:rPr>
        <w:t>0</w:t>
      </w:r>
      <w:r w:rsidR="0075247E">
        <w:rPr>
          <w:color w:val="2C1C65"/>
          <w:sz w:val="28"/>
          <w:szCs w:val="28"/>
        </w:rPr>
        <w:t>5</w:t>
      </w:r>
    </w:p>
    <w:p w:rsidR="00015789" w:rsidRDefault="00015789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02"/>
        <w:gridCol w:w="330"/>
        <w:gridCol w:w="2802"/>
        <w:gridCol w:w="264"/>
        <w:gridCol w:w="2733"/>
      </w:tblGrid>
      <w:tr w:rsidR="00015789">
        <w:trPr>
          <w:trHeight w:val="335"/>
        </w:trPr>
        <w:tc>
          <w:tcPr>
            <w:tcW w:w="2802" w:type="dxa"/>
            <w:shd w:val="clear" w:color="auto" w:fill="auto"/>
          </w:tcPr>
          <w:p w:rsidR="00015789" w:rsidRDefault="00A1685B">
            <w:r>
              <w:br w:type="page"/>
              <w:t>ELABORACIÓN</w:t>
            </w:r>
          </w:p>
        </w:tc>
        <w:tc>
          <w:tcPr>
            <w:tcW w:w="330" w:type="dxa"/>
            <w:shd w:val="clear" w:color="auto" w:fill="auto"/>
          </w:tcPr>
          <w:p w:rsidR="00015789" w:rsidRDefault="00015789"/>
        </w:tc>
        <w:tc>
          <w:tcPr>
            <w:tcW w:w="2802" w:type="dxa"/>
            <w:shd w:val="clear" w:color="auto" w:fill="auto"/>
          </w:tcPr>
          <w:p w:rsidR="00015789" w:rsidRDefault="00A1685B">
            <w: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015789" w:rsidRDefault="00015789"/>
        </w:tc>
        <w:tc>
          <w:tcPr>
            <w:tcW w:w="2733" w:type="dxa"/>
            <w:shd w:val="clear" w:color="auto" w:fill="auto"/>
          </w:tcPr>
          <w:p w:rsidR="00015789" w:rsidRDefault="00A1685B">
            <w:r>
              <w:t>APROBACIÓN</w:t>
            </w:r>
          </w:p>
        </w:tc>
      </w:tr>
      <w:tr w:rsidR="00015789">
        <w:trPr>
          <w:trHeight w:val="454"/>
        </w:trPr>
        <w:tc>
          <w:tcPr>
            <w:tcW w:w="2802" w:type="dxa"/>
            <w:shd w:val="clear" w:color="auto" w:fill="auto"/>
          </w:tcPr>
          <w:p w:rsidR="00015789" w:rsidRDefault="00A1685B">
            <w:pPr>
              <w:jc w:val="left"/>
            </w:pPr>
            <w:r>
              <w:t>Área de Calidade</w:t>
            </w:r>
          </w:p>
          <w:p w:rsidR="00015789" w:rsidRDefault="00015789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:rsidR="00015789" w:rsidRDefault="00015789"/>
        </w:tc>
        <w:tc>
          <w:tcPr>
            <w:tcW w:w="2802" w:type="dxa"/>
            <w:shd w:val="clear" w:color="auto" w:fill="auto"/>
          </w:tcPr>
          <w:p w:rsidR="00015789" w:rsidRDefault="00A1685B">
            <w:pPr>
              <w:spacing w:before="0" w:beforeAutospacing="0" w:after="0" w:afterAutospacing="0"/>
            </w:pPr>
            <w:r>
              <w:t>Comisión de Calidade</w:t>
            </w:r>
          </w:p>
          <w:p w:rsidR="00015789" w:rsidRDefault="00015789">
            <w:pPr>
              <w:spacing w:before="0" w:beforeAutospacing="0" w:after="0" w:afterAutospacing="0"/>
            </w:pPr>
          </w:p>
        </w:tc>
        <w:tc>
          <w:tcPr>
            <w:tcW w:w="264" w:type="dxa"/>
            <w:shd w:val="clear" w:color="auto" w:fill="auto"/>
          </w:tcPr>
          <w:p w:rsidR="00015789" w:rsidRDefault="00015789">
            <w:pPr>
              <w:spacing w:before="0" w:beforeAutospacing="0" w:after="0" w:afterAutospacing="0"/>
            </w:pPr>
          </w:p>
        </w:tc>
        <w:tc>
          <w:tcPr>
            <w:tcW w:w="2733" w:type="dxa"/>
            <w:shd w:val="clear" w:color="auto" w:fill="auto"/>
          </w:tcPr>
          <w:p w:rsidR="00015789" w:rsidRDefault="00A1685B">
            <w:pPr>
              <w:spacing w:before="0" w:beforeAutospacing="0" w:after="0" w:afterAutospacing="0"/>
            </w:pPr>
            <w:r>
              <w:t>Xunta de centro</w:t>
            </w:r>
          </w:p>
        </w:tc>
      </w:tr>
      <w:tr w:rsidR="00015789">
        <w:trPr>
          <w:trHeight w:hRule="exact" w:val="691"/>
        </w:trPr>
        <w:tc>
          <w:tcPr>
            <w:tcW w:w="2802" w:type="dxa"/>
            <w:shd w:val="clear" w:color="auto" w:fill="auto"/>
          </w:tcPr>
          <w:p w:rsidR="00015789" w:rsidRDefault="00A1685B">
            <w:pPr>
              <w:spacing w:before="0" w:beforeAutospacing="0" w:after="0" w:afterAutospacing="0" w:line="240" w:lineRule="auto"/>
            </w:pPr>
            <w:r>
              <w:t>Data e sinatura</w:t>
            </w:r>
          </w:p>
          <w:p w:rsidR="00015789" w:rsidRDefault="00EB1552" w:rsidP="00EB1552">
            <w:pPr>
              <w:spacing w:before="0" w:beforeAutospacing="0" w:after="0" w:afterAutospacing="0" w:line="240" w:lineRule="auto"/>
              <w:jc w:val="left"/>
            </w:pPr>
            <w:r>
              <w:t>02</w:t>
            </w:r>
            <w:r w:rsidR="00A1685B">
              <w:t>/</w:t>
            </w:r>
            <w:r>
              <w:t>10</w:t>
            </w:r>
            <w:r w:rsidR="00A1685B">
              <w:t>/2023</w:t>
            </w:r>
          </w:p>
        </w:tc>
        <w:tc>
          <w:tcPr>
            <w:tcW w:w="330" w:type="dxa"/>
            <w:shd w:val="clear" w:color="auto" w:fill="auto"/>
          </w:tcPr>
          <w:p w:rsidR="00015789" w:rsidRDefault="00015789"/>
        </w:tc>
        <w:tc>
          <w:tcPr>
            <w:tcW w:w="2802" w:type="dxa"/>
            <w:shd w:val="clear" w:color="auto" w:fill="auto"/>
          </w:tcPr>
          <w:p w:rsidR="00015789" w:rsidRDefault="00A1685B">
            <w: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015789" w:rsidRDefault="00015789"/>
        </w:tc>
        <w:tc>
          <w:tcPr>
            <w:tcW w:w="2733" w:type="dxa"/>
            <w:shd w:val="clear" w:color="auto" w:fill="auto"/>
          </w:tcPr>
          <w:p w:rsidR="00015789" w:rsidRDefault="00A1685B">
            <w:r>
              <w:t xml:space="preserve">Data e sinatura </w:t>
            </w:r>
          </w:p>
          <w:p w:rsidR="00015789" w:rsidRDefault="00015789"/>
          <w:p w:rsidR="00015789" w:rsidRDefault="00015789"/>
          <w:p w:rsidR="00015789" w:rsidRDefault="00015789"/>
          <w:p w:rsidR="00015789" w:rsidRDefault="00015789"/>
          <w:p w:rsidR="00015789" w:rsidRDefault="00015789"/>
          <w:p w:rsidR="00015789" w:rsidRDefault="00A1685B">
            <w:proofErr w:type="spellStart"/>
            <w:r>
              <w:t>fffffff</w:t>
            </w:r>
            <w:proofErr w:type="spellEnd"/>
          </w:p>
          <w:p w:rsidR="00015789" w:rsidRDefault="00015789"/>
          <w:p w:rsidR="00015789" w:rsidRDefault="00015789"/>
        </w:tc>
      </w:tr>
    </w:tbl>
    <w:p w:rsidR="00015789" w:rsidRDefault="00015789">
      <w:pPr>
        <w:sectPr w:rsidR="00015789">
          <w:headerReference w:type="default" r:id="rId8"/>
          <w:footerReference w:type="default" r:id="rId9"/>
          <w:pgSz w:w="11906" w:h="16838"/>
          <w:pgMar w:top="1418" w:right="1134" w:bottom="1701" w:left="1134" w:header="709" w:footer="0" w:gutter="0"/>
          <w:cols w:space="708"/>
          <w:docGrid w:linePitch="360"/>
        </w:sectPr>
      </w:pPr>
    </w:p>
    <w:p w:rsidR="00015789" w:rsidRDefault="00A1685B">
      <w:pPr>
        <w:pStyle w:val="Ttulo2"/>
        <w:rPr>
          <w:szCs w:val="28"/>
        </w:rPr>
      </w:pPr>
      <w:r>
        <w:lastRenderedPageBreak/>
        <w:t>Proceso</w:t>
      </w:r>
    </w:p>
    <w:p w:rsidR="00015789" w:rsidRDefault="00A1685B">
      <w:r>
        <w:t>Xestión dos programas formativos</w:t>
      </w:r>
    </w:p>
    <w:p w:rsidR="00015789" w:rsidRDefault="00015789">
      <w:pPr>
        <w:rPr>
          <w:rFonts w:cs="Times New Roman"/>
        </w:rPr>
      </w:pPr>
    </w:p>
    <w:p w:rsidR="00015789" w:rsidRDefault="00A1685B">
      <w:pPr>
        <w:pStyle w:val="Ttulo2"/>
      </w:pPr>
      <w:r>
        <w:t>Histórico de evolucións</w:t>
      </w:r>
    </w:p>
    <w:tbl>
      <w:tblPr>
        <w:tblStyle w:val="Tablaconcuadrcula"/>
        <w:tblW w:w="95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1918"/>
        <w:gridCol w:w="5069"/>
        <w:gridCol w:w="16"/>
      </w:tblGrid>
      <w:tr w:rsidR="00015789">
        <w:tc>
          <w:tcPr>
            <w:tcW w:w="1007" w:type="dxa"/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</w:pPr>
            <w:r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</w:pPr>
            <w:r>
              <w:t>DATA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</w:pPr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0"/>
            </w:pPr>
            <w:r>
              <w:t>MOTIVO DAS PRINCIPAIS MODIFICACIÓNS</w:t>
            </w:r>
          </w:p>
        </w:tc>
      </w:tr>
      <w:tr w:rsidR="00015789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15/05/2008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Creación do procedemento (documentación marco).</w:t>
            </w:r>
          </w:p>
        </w:tc>
      </w:tr>
      <w:tr w:rsidR="00015789">
        <w:trPr>
          <w:gridAfter w:val="1"/>
          <w:wAfter w:w="16" w:type="dxa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</w:pPr>
            <w:r>
              <w:rPr>
                <w:sz w:val="20"/>
                <w:szCs w:val="20"/>
              </w:rPr>
              <w:t>01-03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</w:pPr>
            <w:r>
              <w:rPr>
                <w:sz w:val="20"/>
                <w:szCs w:val="20"/>
              </w:rPr>
              <w:t>2008-2011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jc w:val="left"/>
            </w:pPr>
            <w:r>
              <w:rPr>
                <w:sz w:val="20"/>
                <w:szCs w:val="20"/>
              </w:rPr>
              <w:t>Comisións de calidade dos centros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0"/>
            </w:pPr>
            <w:r>
              <w:rPr>
                <w:sz w:val="20"/>
                <w:szCs w:val="20"/>
              </w:rPr>
              <w:t>Intervalo de modificacións realizadas polos centros baseándose fundamentalmente nas recomendacións establecidas nos informes de avaliación dos sistemas de calidade, remitidos desde a ACSUG.</w:t>
            </w:r>
          </w:p>
        </w:tc>
      </w:tr>
      <w:tr w:rsidR="00015789">
        <w:trPr>
          <w:gridAfter w:val="1"/>
          <w:wAfter w:w="16" w:type="dxa"/>
          <w:trHeight w:val="1589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Gandón e José Miguel Dorribo</w:t>
            </w:r>
          </w:p>
          <w:p w:rsidR="00015789" w:rsidRDefault="00A1685B">
            <w:pPr>
              <w:spacing w:before="0" w:beforeAutospacing="0" w:after="120" w:afterAutospacing="0" w:line="240" w:lineRule="auto"/>
              <w:ind w:right="3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(Área de Apoio á Docencia e Calidade)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Evolución do procedemento inicial PE03 «Deseño da oferta formativa do centro». Creación do procedemento coa denominación; deseño, autorización e verificación dos títulos oficiais. Nova codificación, trama de redacción e estrutura. Novos contidos.</w:t>
            </w:r>
          </w:p>
        </w:tc>
      </w:tr>
      <w:tr w:rsidR="00015789">
        <w:trPr>
          <w:gridAfter w:val="1"/>
          <w:wAfter w:w="16" w:type="dxa"/>
          <w:trHeight w:val="1130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789" w:rsidRDefault="00EB1552" w:rsidP="00EB1552">
            <w:pPr>
              <w:spacing w:before="0" w:beforeAutospacing="0" w:after="12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16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A1685B">
              <w:rPr>
                <w:sz w:val="20"/>
                <w:szCs w:val="20"/>
              </w:rPr>
              <w:t>/2023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789" w:rsidRDefault="00A1685B">
            <w:pPr>
              <w:spacing w:before="0" w:beforeAutospacing="0" w:after="120" w:afterAutospacing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 do procedemento para responder ás especificacións da nova normativa (RD 822/2021, RD 640/2021 e a LOSU)</w:t>
            </w:r>
          </w:p>
        </w:tc>
      </w:tr>
    </w:tbl>
    <w:p w:rsidR="00015789" w:rsidRDefault="00A1685B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  <w:rPr>
          <w:rFonts w:eastAsiaTheme="majorEastAsia" w:cstheme="majorBidi"/>
          <w:bCs/>
          <w:color w:val="2C1C65"/>
          <w:sz w:val="28"/>
          <w:szCs w:val="26"/>
        </w:rPr>
      </w:pPr>
      <w:r>
        <w:br w:type="page"/>
      </w:r>
    </w:p>
    <w:p w:rsidR="00015789" w:rsidRDefault="00A1685B">
      <w:pPr>
        <w:pStyle w:val="Ttulo2"/>
      </w:pPr>
      <w:r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015789" w:rsidRDefault="00015789">
          <w:pPr>
            <w:pStyle w:val="TtuloTDC1"/>
          </w:pPr>
        </w:p>
        <w:p w:rsidR="00015789" w:rsidRPr="00EB1552" w:rsidRDefault="00A1685B">
          <w:pPr>
            <w:pStyle w:val="TDC1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r w:rsidRPr="00EB1552">
            <w:rPr>
              <w:b w:val="0"/>
            </w:rPr>
            <w:fldChar w:fldCharType="begin"/>
          </w:r>
          <w:r w:rsidRPr="00EB1552">
            <w:rPr>
              <w:b w:val="0"/>
            </w:rPr>
            <w:instrText xml:space="preserve"> TOC \o "1-1" \h \z \t "Estilo_Documento SC;1" </w:instrText>
          </w:r>
          <w:r w:rsidRPr="00EB1552">
            <w:rPr>
              <w:b w:val="0"/>
            </w:rPr>
            <w:fldChar w:fldCharType="separate"/>
          </w:r>
          <w:hyperlink w:anchor="_Toc9497076" w:history="1">
            <w:r w:rsidRPr="00EB1552">
              <w:rPr>
                <w:rStyle w:val="Hipervnculo"/>
                <w:b w:val="0"/>
              </w:rPr>
              <w:t>I Obxecto</w:t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="00EB1552"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rStyle w:val="Hipervnculo"/>
                <w:b w:val="0"/>
              </w:rPr>
              <w:tab/>
            </w:r>
            <w:r w:rsidRPr="00EB1552">
              <w:rPr>
                <w:b w:val="0"/>
              </w:rPr>
              <w:tab/>
            </w:r>
            <w:r w:rsidRPr="00EB1552">
              <w:rPr>
                <w:b w:val="0"/>
              </w:rPr>
              <w:tab/>
            </w:r>
            <w:r w:rsidRPr="00EB1552">
              <w:rPr>
                <w:b w:val="0"/>
              </w:rPr>
              <w:fldChar w:fldCharType="begin"/>
            </w:r>
            <w:r w:rsidRPr="00EB1552">
              <w:rPr>
                <w:b w:val="0"/>
              </w:rPr>
              <w:instrText xml:space="preserve"> PAGEREF _Toc9497076 \h </w:instrText>
            </w:r>
            <w:r w:rsidRPr="00EB1552">
              <w:rPr>
                <w:b w:val="0"/>
              </w:rPr>
            </w:r>
            <w:r w:rsidRPr="00EB1552">
              <w:rPr>
                <w:b w:val="0"/>
              </w:rPr>
              <w:fldChar w:fldCharType="separate"/>
            </w:r>
            <w:r w:rsidRPr="00EB1552">
              <w:rPr>
                <w:b w:val="0"/>
              </w:rPr>
              <w:t>4</w:t>
            </w:r>
            <w:r w:rsidRPr="00EB1552">
              <w:rPr>
                <w:b w:val="0"/>
              </w:rPr>
              <w:fldChar w:fldCharType="end"/>
            </w:r>
          </w:hyperlink>
        </w:p>
        <w:p w:rsidR="00015789" w:rsidRPr="00EB1552" w:rsidRDefault="000653B1">
          <w:pPr>
            <w:pStyle w:val="TDC1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7" w:history="1">
            <w:r w:rsidR="00A1685B" w:rsidRPr="00EB1552">
              <w:rPr>
                <w:rStyle w:val="Hipervnculo"/>
                <w:b w:val="0"/>
              </w:rPr>
              <w:t xml:space="preserve">II Alcance </w:t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EB1552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fldChar w:fldCharType="begin"/>
            </w:r>
            <w:r w:rsidR="00A1685B" w:rsidRPr="00EB1552">
              <w:rPr>
                <w:b w:val="0"/>
              </w:rPr>
              <w:instrText xml:space="preserve"> PAGEREF _Toc9497077 \h </w:instrText>
            </w:r>
            <w:r w:rsidR="00A1685B" w:rsidRPr="00EB1552">
              <w:rPr>
                <w:b w:val="0"/>
              </w:rPr>
            </w:r>
            <w:r w:rsidR="00A1685B" w:rsidRPr="00EB1552">
              <w:rPr>
                <w:b w:val="0"/>
              </w:rPr>
              <w:fldChar w:fldCharType="separate"/>
            </w:r>
            <w:r w:rsidR="00A1685B" w:rsidRPr="00EB1552">
              <w:rPr>
                <w:b w:val="0"/>
              </w:rPr>
              <w:t>4</w:t>
            </w:r>
            <w:r w:rsidR="00A1685B" w:rsidRPr="00EB1552">
              <w:rPr>
                <w:b w:val="0"/>
              </w:rPr>
              <w:fldChar w:fldCharType="end"/>
            </w:r>
          </w:hyperlink>
        </w:p>
        <w:p w:rsidR="00015789" w:rsidRPr="00EB1552" w:rsidRDefault="000653B1">
          <w:pPr>
            <w:pStyle w:val="TDC1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8" w:history="1">
            <w:r w:rsidR="00A1685B" w:rsidRPr="00EB1552">
              <w:rPr>
                <w:rStyle w:val="Hipervnculo"/>
                <w:b w:val="0"/>
              </w:rPr>
              <w:t>III Referencias</w:t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EB1552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fldChar w:fldCharType="begin"/>
            </w:r>
            <w:r w:rsidR="00A1685B" w:rsidRPr="00EB1552">
              <w:rPr>
                <w:b w:val="0"/>
              </w:rPr>
              <w:instrText xml:space="preserve"> PAGEREF _Toc9497078 \h </w:instrText>
            </w:r>
            <w:r w:rsidR="00A1685B" w:rsidRPr="00EB1552">
              <w:rPr>
                <w:b w:val="0"/>
              </w:rPr>
            </w:r>
            <w:r w:rsidR="00A1685B" w:rsidRPr="00EB1552">
              <w:rPr>
                <w:b w:val="0"/>
              </w:rPr>
              <w:fldChar w:fldCharType="separate"/>
            </w:r>
            <w:r w:rsidR="00A1685B" w:rsidRPr="00EB1552">
              <w:rPr>
                <w:b w:val="0"/>
              </w:rPr>
              <w:t>4</w:t>
            </w:r>
            <w:r w:rsidR="00A1685B" w:rsidRPr="00EB1552">
              <w:rPr>
                <w:b w:val="0"/>
              </w:rPr>
              <w:fldChar w:fldCharType="end"/>
            </w:r>
          </w:hyperlink>
        </w:p>
        <w:p w:rsidR="00015789" w:rsidRPr="00EB1552" w:rsidRDefault="000653B1">
          <w:pPr>
            <w:pStyle w:val="TDC1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9" w:history="1">
            <w:r w:rsidR="00A1685B" w:rsidRPr="00EB1552">
              <w:rPr>
                <w:rStyle w:val="Hipervnculo"/>
                <w:b w:val="0"/>
              </w:rPr>
              <w:t>IV Desenvolvemento</w:t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EB1552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fldChar w:fldCharType="begin"/>
            </w:r>
            <w:r w:rsidR="00A1685B" w:rsidRPr="00EB1552">
              <w:rPr>
                <w:b w:val="0"/>
              </w:rPr>
              <w:instrText xml:space="preserve"> PAGEREF _Toc9497079 \h </w:instrText>
            </w:r>
            <w:r w:rsidR="00A1685B" w:rsidRPr="00EB1552">
              <w:rPr>
                <w:b w:val="0"/>
              </w:rPr>
            </w:r>
            <w:r w:rsidR="00A1685B" w:rsidRPr="00EB1552">
              <w:rPr>
                <w:b w:val="0"/>
              </w:rPr>
              <w:fldChar w:fldCharType="separate"/>
            </w:r>
            <w:r w:rsidR="00A1685B" w:rsidRPr="00EB1552">
              <w:rPr>
                <w:b w:val="0"/>
              </w:rPr>
              <w:t>8</w:t>
            </w:r>
            <w:r w:rsidR="00A1685B" w:rsidRPr="00EB1552">
              <w:rPr>
                <w:b w:val="0"/>
              </w:rPr>
              <w:fldChar w:fldCharType="end"/>
            </w:r>
          </w:hyperlink>
        </w:p>
        <w:p w:rsidR="00015789" w:rsidRPr="00EB1552" w:rsidRDefault="000653B1">
          <w:pPr>
            <w:pStyle w:val="TDC1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80" w:history="1">
            <w:r w:rsidR="00A1685B" w:rsidRPr="00EB1552">
              <w:rPr>
                <w:rStyle w:val="Hipervnculo"/>
                <w:b w:val="0"/>
              </w:rPr>
              <w:t>V Anexos</w:t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rStyle w:val="Hipervnculo"/>
                <w:b w:val="0"/>
              </w:rPr>
              <w:tab/>
            </w:r>
            <w:r w:rsidR="00EB1552" w:rsidRPr="00EB1552">
              <w:rPr>
                <w:rStyle w:val="Hipervnculo"/>
                <w:b w:val="0"/>
              </w:rPr>
              <w:tab/>
            </w:r>
            <w:r w:rsidR="00A1685B" w:rsidRPr="00EB1552">
              <w:rPr>
                <w:b w:val="0"/>
              </w:rPr>
              <w:tab/>
            </w:r>
            <w:r w:rsidR="00A1685B" w:rsidRPr="00EB1552">
              <w:rPr>
                <w:b w:val="0"/>
              </w:rPr>
              <w:fldChar w:fldCharType="begin"/>
            </w:r>
            <w:r w:rsidR="00A1685B" w:rsidRPr="00EB1552">
              <w:rPr>
                <w:b w:val="0"/>
              </w:rPr>
              <w:instrText xml:space="preserve"> PAGEREF _Toc9497080 \h </w:instrText>
            </w:r>
            <w:r w:rsidR="00A1685B" w:rsidRPr="00EB1552">
              <w:rPr>
                <w:b w:val="0"/>
              </w:rPr>
            </w:r>
            <w:r w:rsidR="00A1685B" w:rsidRPr="00EB1552">
              <w:rPr>
                <w:b w:val="0"/>
              </w:rPr>
              <w:fldChar w:fldCharType="separate"/>
            </w:r>
            <w:r w:rsidR="00A1685B" w:rsidRPr="00EB1552">
              <w:rPr>
                <w:b w:val="0"/>
              </w:rPr>
              <w:t>11</w:t>
            </w:r>
            <w:r w:rsidR="00A1685B" w:rsidRPr="00EB1552">
              <w:rPr>
                <w:b w:val="0"/>
              </w:rPr>
              <w:fldChar w:fldCharType="end"/>
            </w:r>
          </w:hyperlink>
        </w:p>
        <w:p w:rsidR="00015789" w:rsidRDefault="00A1685B">
          <w:r w:rsidRPr="00EB1552">
            <w:fldChar w:fldCharType="end"/>
          </w:r>
        </w:p>
      </w:sdtContent>
    </w:sdt>
    <w:p w:rsidR="00015789" w:rsidRDefault="00A1685B">
      <w:pPr>
        <w:pStyle w:val="Ttulo1"/>
        <w:ind w:right="142"/>
      </w:pPr>
      <w:r>
        <w:br w:type="page"/>
      </w:r>
      <w:bookmarkStart w:id="0" w:name="_Toc9497076"/>
      <w:r>
        <w:t>I OBXECTO</w:t>
      </w:r>
      <w:bookmarkEnd w:id="0"/>
    </w:p>
    <w:p w:rsidR="00015789" w:rsidRDefault="00A1685B">
      <w:pPr>
        <w:spacing w:after="120" w:afterAutospacing="0"/>
        <w:ind w:right="142"/>
      </w:pPr>
      <w:bookmarkStart w:id="1" w:name="_Toc9497077"/>
      <w:r>
        <w:t>Recoller o sistema que permite asegurar a execución efectiva das ensinanzas conforme o recollido no plan de estudos da titulación correspondente e identificar as principais debilidades e as boas prácticas; todo, como punto de partida cara á mellora continua e como garantía para a acreditación dos títulos.</w:t>
      </w:r>
    </w:p>
    <w:p w:rsidR="00015789" w:rsidRDefault="00015789">
      <w:pPr>
        <w:ind w:right="142"/>
      </w:pPr>
    </w:p>
    <w:p w:rsidR="00015789" w:rsidRDefault="00A1685B">
      <w:pPr>
        <w:pStyle w:val="Ttulo1"/>
        <w:ind w:right="142"/>
      </w:pPr>
      <w:r>
        <w:t>II ALCANCE</w:t>
      </w:r>
      <w:bookmarkEnd w:id="1"/>
    </w:p>
    <w:p w:rsidR="00015789" w:rsidRDefault="00A1685B">
      <w:pPr>
        <w:spacing w:after="120" w:afterAutospacing="0"/>
        <w:ind w:right="142"/>
      </w:pPr>
      <w:r>
        <w:t xml:space="preserve">O alcance deste procedemento esténdese ás titulacións oficiais de grao e mestrado adscritas ao centro, con independencia de se o centro está acreditado institucionalmente ou non. Exclúense os títulos interuniversitarios que se rexen polo establecido no convenio asinado. De non existir regulación específica no convenio rexeranse polo presente procedemento. </w:t>
      </w:r>
    </w:p>
    <w:p w:rsidR="00015789" w:rsidRDefault="00015789">
      <w:pPr>
        <w:ind w:right="142"/>
        <w:rPr>
          <w:iCs/>
        </w:rPr>
      </w:pPr>
    </w:p>
    <w:p w:rsidR="00015789" w:rsidRDefault="00A1685B">
      <w:pPr>
        <w:pStyle w:val="Ttulo1"/>
        <w:ind w:right="142"/>
      </w:pPr>
      <w:bookmarkStart w:id="2" w:name="_Toc9497078"/>
      <w:r>
        <w:t>III REFERENCIAS</w:t>
      </w:r>
      <w:bookmarkEnd w:id="2"/>
      <w:r>
        <w:tab/>
      </w:r>
    </w:p>
    <w:p w:rsidR="00015789" w:rsidRDefault="00A1685B">
      <w:pPr>
        <w:pStyle w:val="Ttulo2"/>
        <w:numPr>
          <w:ilvl w:val="0"/>
          <w:numId w:val="2"/>
        </w:numPr>
        <w:ind w:right="142"/>
      </w:pPr>
      <w:r>
        <w:t xml:space="preserve">Normas </w:t>
      </w:r>
    </w:p>
    <w:p w:rsidR="00015789" w:rsidRDefault="00A1685B">
      <w:r>
        <w:t xml:space="preserve">A lexislación e a normativa xeral que afecta ao SGC dos centros está descrita no </w:t>
      </w:r>
      <w:r>
        <w:rPr>
          <w:i/>
        </w:rPr>
        <w:t>Manual de calidade</w:t>
      </w:r>
      <w:r>
        <w:t xml:space="preserve">. A lexislación que non está no Manual é a seguinte: </w:t>
      </w:r>
    </w:p>
    <w:p w:rsidR="00015789" w:rsidRDefault="00A1685B">
      <w:pPr>
        <w:ind w:left="360" w:right="142"/>
        <w:rPr>
          <w:b/>
        </w:rPr>
      </w:pPr>
      <w:r>
        <w:rPr>
          <w:b/>
        </w:rPr>
        <w:t>Lexislación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 xml:space="preserve">Lei Orgánica 2/2023, de 22 de marzo, do Sistema Universitario.  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Real Decreto 640/2021, de 27 de xullo, de creación, recoñecemento e autorización de universidades e centros universitarios, e acreditación institucional de centros universitarios.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Real Decreto 1509/2008, do 12 de setembro, de rexistro de universidades, centros e títulos.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Orde, do 20 de marzo de 2012, pola que se desenvolve o Decreto 222/2011, do 2 de decembro, e as súas instrucións de desenvolvemento.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Resolución do 3 de marzo de 2022, da Secretaría Xeral de Universidades, pola que se ditan instrucións sobre o procedemento para a acreditación institucional de centros de universidades públicas e privadas, e se publica o Protocolo para a certificación de sistemas internos de garantía de calidade dos centros universitarios e o Protocolo para o procedemento de avaliación da renovación da acreditación institucional de centros universitarios, aprobados pola Conferencia Xeral de Política Universitaria.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Lei 6/2013, do 13 de xuño, do Sistema Universitario de Galicia.</w:t>
      </w:r>
    </w:p>
    <w:p w:rsidR="00015789" w:rsidRDefault="00015789">
      <w:pPr>
        <w:spacing w:after="120" w:afterAutospacing="0"/>
        <w:ind w:right="142"/>
        <w:rPr>
          <w:color w:val="FF0000"/>
        </w:rPr>
      </w:pPr>
    </w:p>
    <w:p w:rsidR="00015789" w:rsidRDefault="00A1685B">
      <w:pPr>
        <w:ind w:right="142"/>
        <w:rPr>
          <w:b/>
        </w:rPr>
      </w:pPr>
      <w:r>
        <w:rPr>
          <w:b/>
        </w:rPr>
        <w:t>Outros documentos de referencia: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ACSUG: Guía de Avaliación para o seguimento e a renovación da acreditación de títulos oficiais de grao e máster.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REACU: Protocolo de avaliación para o seguimento e a renovación da acreditación de títulos universitarios oficiais de grao e máster universitario.</w:t>
      </w:r>
    </w:p>
    <w:p w:rsidR="00015789" w:rsidRDefault="00015789">
      <w:pPr>
        <w:ind w:right="142"/>
        <w:rPr>
          <w:color w:val="FF0000"/>
        </w:rPr>
      </w:pPr>
    </w:p>
    <w:p w:rsidR="00015789" w:rsidRDefault="00A1685B">
      <w:pPr>
        <w:pStyle w:val="Ttulo2"/>
        <w:numPr>
          <w:ilvl w:val="0"/>
          <w:numId w:val="2"/>
        </w:numPr>
        <w:spacing w:before="100" w:after="120" w:afterAutospacing="0"/>
        <w:ind w:right="142"/>
      </w:pPr>
      <w:r>
        <w:t>Definicións</w:t>
      </w:r>
    </w:p>
    <w:p w:rsidR="00015789" w:rsidRDefault="00A1685B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 xml:space="preserve">Seguimento: Procedemento que consiste na análise do desenvolvemento do plan de estudos dun título universitario oficial co obxectivo de valorar o cumprimento cos criterios e formulacións académicas fundamentais recollidas na memoria do plan de estudos.  Este procedemento desenvolvese polos centros docentes a través dos órganos establecidos na normativa de Universidade, e realizarase polo menos un informe de seguimento, preceptivo transcorridos tres anos da implantación efectiva ou da renovación da acreditación. Segundo o Real Decreto 822/2021 o procedemento distingue, se o centro está acreditado institucionalmente ou non está acreditado institucionalmente. </w:t>
      </w:r>
    </w:p>
    <w:p w:rsidR="00015789" w:rsidRDefault="00A1685B">
      <w:pPr>
        <w:ind w:right="142"/>
      </w:pPr>
      <w:r>
        <w:rPr>
          <w:rFonts w:ascii="Times New Roman" w:hAnsi="Times New Roman" w:cs="Times New Roman"/>
        </w:rPr>
        <w:t xml:space="preserve">‒ </w:t>
      </w:r>
      <w:r>
        <w:t xml:space="preserve">Acreditación: proceso obrigatorio, legalmente establecido, que ten como finalidade renovar a acreditación dos títulos e consiste nun proceso de avaliación cíclica para supervisar a execución efectiva das ensinanzas e comprobar que os seus resultados son axeitados e contribúen á formación do estudantado. </w:t>
      </w:r>
    </w:p>
    <w:p w:rsidR="00015789" w:rsidRDefault="00A1685B">
      <w:pPr>
        <w:ind w:right="142"/>
      </w:pPr>
      <w:r>
        <w:rPr>
          <w:rFonts w:ascii="Times New Roman" w:hAnsi="Times New Roman" w:cs="Times New Roman"/>
        </w:rPr>
        <w:t xml:space="preserve">‒ </w:t>
      </w:r>
      <w:r>
        <w:t>Acreditación Institucional: é un mecanismo para garantir a calidade académica global dun centro universitario. Instruméntase mediante o sistema interno de garantía da calidade, que debe asegura una formación cun nivel de competencia e a adecuación aos criterios estandarizados de calidade do servicio docente prestado e debe responder ás esixencias do estudantado e da sociedade. A acreditación institucional comportará a renovación da acreditación do conxunto de títulos universitarios oficiais que se impartan neste centro. Os requisitos que deberán cumprir os centros universitarios para a súa obtención son:</w:t>
      </w:r>
    </w:p>
    <w:p w:rsidR="00015789" w:rsidRDefault="00A1685B">
      <w:pPr>
        <w:pStyle w:val="Prrafodelista"/>
        <w:numPr>
          <w:ilvl w:val="0"/>
          <w:numId w:val="4"/>
        </w:numPr>
        <w:ind w:right="142"/>
      </w:pPr>
      <w:r>
        <w:t>A renovación da acreditación inicial de polo menos a metade dos títulos oficiais de grao, a metade dos títulos oficiais de máster e a metade dos títulos oficiais de doutoramento.</w:t>
      </w:r>
    </w:p>
    <w:p w:rsidR="00015789" w:rsidRDefault="00A1685B">
      <w:pPr>
        <w:pStyle w:val="Prrafodelista"/>
        <w:numPr>
          <w:ilvl w:val="0"/>
          <w:numId w:val="4"/>
        </w:numPr>
        <w:ind w:right="142"/>
      </w:pPr>
      <w:r>
        <w:t>Dispoñer da certificación da implantación do seu sistema interno de garantía de calidade.</w:t>
      </w:r>
    </w:p>
    <w:p w:rsidR="00015789" w:rsidRDefault="00A1685B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 xml:space="preserve">Memoria de verificación: memoria para solicitar a verificación de títulos oficiais nos termos establecidos no anexo II do Real decreto 822/2021, do 28 de setembro, polo que se establece a organización das ensinanzas universitarias e do procedemento de aseguramento da súa calidade. </w:t>
      </w:r>
    </w:p>
    <w:p w:rsidR="00015789" w:rsidRDefault="00A1685B">
      <w:pPr>
        <w:spacing w:after="120" w:afterAutospacing="0"/>
        <w:ind w:right="142"/>
      </w:pPr>
      <w:r>
        <w:rPr>
          <w:rFonts w:ascii="Times New Roman" w:hAnsi="Times New Roman" w:cs="Times New Roman"/>
        </w:rPr>
        <w:t xml:space="preserve">‒ </w:t>
      </w:r>
      <w:r>
        <w:t>Memoria de titulación: documentación legalmente esixida para implantar plans de estudo conducentes á obtención de títulos oficiais que inclúe:</w:t>
      </w:r>
      <w:r>
        <w:tab/>
      </w:r>
      <w:r>
        <w:tab/>
      </w:r>
    </w:p>
    <w:p w:rsidR="00015789" w:rsidRDefault="00A1685B">
      <w:pPr>
        <w:pStyle w:val="Prrafodelista"/>
        <w:numPr>
          <w:ilvl w:val="0"/>
          <w:numId w:val="5"/>
        </w:numPr>
        <w:spacing w:after="120" w:afterAutospacing="0"/>
        <w:ind w:right="142"/>
      </w:pPr>
      <w:r>
        <w:t>Memoria xustificativa, fidedigna e detallada do cumprimento dos requisitos xerais e específicos, recollidos nos artigos 4 e 5 do decreto 222/2011.</w:t>
      </w:r>
    </w:p>
    <w:p w:rsidR="00015789" w:rsidRDefault="00A1685B">
      <w:pPr>
        <w:pStyle w:val="Prrafodelista"/>
        <w:numPr>
          <w:ilvl w:val="0"/>
          <w:numId w:val="5"/>
        </w:numPr>
        <w:spacing w:after="120" w:afterAutospacing="0"/>
        <w:ind w:right="142"/>
      </w:pPr>
      <w:r>
        <w:t>Memoria económica, que incluirá os datos relativos á infraestrutura material, os recursos de persoal docente e investigador e de persoal de administración e servizos, así como as diferentes fontes de financiamento, consonte o establecido no artigo 7 do Decreto 222/2011.</w:t>
      </w:r>
    </w:p>
    <w:p w:rsidR="00015789" w:rsidRDefault="00A1685B">
      <w:pPr>
        <w:ind w:right="142"/>
      </w:pPr>
      <w:r>
        <w:rPr>
          <w:rFonts w:ascii="Times New Roman" w:hAnsi="Times New Roman" w:cs="Times New Roman"/>
        </w:rPr>
        <w:t xml:space="preserve">‒ </w:t>
      </w:r>
      <w:r>
        <w:t>Verificación: procedemento legalmente establecido para avaliar os plans de estudo antes da súa implantación nas universidades.</w:t>
      </w:r>
    </w:p>
    <w:p w:rsidR="00015789" w:rsidRDefault="00A1685B">
      <w:pPr>
        <w:ind w:right="142"/>
      </w:pPr>
      <w:r>
        <w:rPr>
          <w:rFonts w:ascii="Times New Roman" w:hAnsi="Times New Roman" w:cs="Times New Roman"/>
        </w:rPr>
        <w:t xml:space="preserve">‒ </w:t>
      </w:r>
      <w:r>
        <w:t>Modificación de memoria: refírese á actualización levada a cabo no marco dunha titulación oficial xa verificada, aprobada e xestionada de acordo cos procedementos internos da universidade, e da normativa estatal e autonómica vixente, co fin da súa mellora continua e a súa actualización do plan de estudos ao entorno socio económico. Considéranse modificacións aqueles cambios que non afecten significativamente á estrutura, natureza e/ou obxectivos do título verificado. Segundo o Real Decreto 822/2021, os cambios poden clasificarse en Modificacións substanciais e non substanciais</w:t>
      </w:r>
    </w:p>
    <w:p w:rsidR="00EB1552" w:rsidRDefault="00EB1552">
      <w:pPr>
        <w:tabs>
          <w:tab w:val="clear" w:pos="1276"/>
        </w:tabs>
        <w:spacing w:before="0" w:beforeAutospacing="0" w:after="0" w:afterAutospacing="0" w:line="240" w:lineRule="auto"/>
        <w:ind w:right="0"/>
        <w:jc w:val="left"/>
        <w:rPr>
          <w:rFonts w:ascii="ITC New Baskerville Std" w:hAnsi="ITC New Baskerville Std"/>
          <w:sz w:val="24"/>
          <w:lang w:val="es-ES"/>
        </w:rPr>
      </w:pPr>
      <w:r>
        <w:rPr>
          <w:i/>
        </w:rPr>
        <w:br w:type="page"/>
      </w:r>
    </w:p>
    <w:p w:rsidR="00015789" w:rsidRDefault="00015789">
      <w:pPr>
        <w:pStyle w:val="Estilo5"/>
        <w:numPr>
          <w:ilvl w:val="0"/>
          <w:numId w:val="0"/>
        </w:numPr>
        <w:spacing w:after="100"/>
        <w:rPr>
          <w:i w:val="0"/>
        </w:rPr>
      </w:pPr>
    </w:p>
    <w:p w:rsidR="00015789" w:rsidRDefault="00A1685B">
      <w:pPr>
        <w:pStyle w:val="Ttulo2"/>
        <w:numPr>
          <w:ilvl w:val="0"/>
          <w:numId w:val="2"/>
        </w:numPr>
        <w:ind w:right="142"/>
      </w:pPr>
      <w:r>
        <w:t>Abreviaturas e siglas</w:t>
      </w:r>
    </w:p>
    <w:p w:rsidR="00015789" w:rsidRDefault="00A1685B">
      <w:pPr>
        <w:spacing w:before="0" w:beforeAutospacing="0" w:after="120" w:afterAutospacing="0"/>
        <w:ind w:right="142"/>
      </w:pPr>
      <w:r>
        <w:t>- ANECA : Axencia Nacional de Avaliación da Calidade e Acreditación.</w:t>
      </w:r>
    </w:p>
    <w:p w:rsidR="00015789" w:rsidRDefault="00A1685B">
      <w:pPr>
        <w:spacing w:before="0" w:beforeAutospacing="0" w:after="120" w:afterAutospacing="0"/>
        <w:ind w:right="142"/>
      </w:pPr>
      <w:r>
        <w:t>- ACSUG: Axencia para a Calidade do Sistema Universitario de Galicia.</w:t>
      </w:r>
    </w:p>
    <w:p w:rsidR="00015789" w:rsidRDefault="00A1685B">
      <w:pPr>
        <w:spacing w:before="0" w:beforeAutospacing="0" w:after="120" w:afterAutospacing="0"/>
        <w:ind w:right="142"/>
      </w:pPr>
      <w:r>
        <w:t>- BOE: Boletín Oficial do Estado.</w:t>
      </w:r>
    </w:p>
    <w:p w:rsidR="00015789" w:rsidRDefault="00A1685B">
      <w:pPr>
        <w:spacing w:before="0" w:beforeAutospacing="0" w:after="120" w:afterAutospacing="0"/>
        <w:ind w:right="142"/>
      </w:pPr>
      <w:r>
        <w:t>- CAD: Comisión de Avaliación Docente.</w:t>
      </w:r>
    </w:p>
    <w:p w:rsidR="00015789" w:rsidRDefault="00A1685B">
      <w:pPr>
        <w:spacing w:before="0" w:beforeAutospacing="0" w:after="120" w:afterAutospacing="0"/>
        <w:ind w:right="142"/>
      </w:pPr>
      <w:r>
        <w:t>- COAP: Comisión de Organización Académica do Profesorado.</w:t>
      </w:r>
    </w:p>
    <w:p w:rsidR="00015789" w:rsidRDefault="00A1685B">
      <w:pPr>
        <w:spacing w:before="0" w:beforeAutospacing="0" w:after="120" w:afterAutospacing="0"/>
        <w:ind w:right="142"/>
      </w:pPr>
      <w:r>
        <w:t>- DOG: Diario Oficial de Galiza.</w:t>
      </w:r>
    </w:p>
    <w:p w:rsidR="00015789" w:rsidRDefault="00A1685B">
      <w:pPr>
        <w:spacing w:before="0" w:beforeAutospacing="0" w:after="120" w:afterAutospacing="0"/>
        <w:ind w:right="142"/>
      </w:pPr>
      <w:r>
        <w:t>- EAD: Enquisa de avaliación docente do profesorado.</w:t>
      </w:r>
    </w:p>
    <w:p w:rsidR="00015789" w:rsidRDefault="00A1685B">
      <w:pPr>
        <w:spacing w:before="0" w:beforeAutospacing="0" w:after="120" w:afterAutospacing="0"/>
        <w:ind w:right="142"/>
      </w:pPr>
      <w:r>
        <w:t>- EEES: espazo europeo de educación superior.</w:t>
      </w:r>
    </w:p>
    <w:p w:rsidR="00015789" w:rsidRDefault="00A1685B">
      <w:pPr>
        <w:spacing w:before="0" w:beforeAutospacing="0" w:after="120" w:afterAutospacing="0"/>
        <w:ind w:right="142"/>
      </w:pPr>
      <w:r>
        <w:t xml:space="preserve">- ENQA: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Association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Assurance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Higher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t xml:space="preserve"> (Rede Europea para a Garantía da Calidade na Educación Superior).</w:t>
      </w:r>
    </w:p>
    <w:p w:rsidR="00015789" w:rsidRDefault="00A1685B">
      <w:pPr>
        <w:spacing w:before="0" w:beforeAutospacing="0" w:after="120" w:afterAutospacing="0"/>
        <w:ind w:right="142"/>
      </w:pPr>
      <w:r>
        <w:t>- PDI: Persoal Docente e Investigador.</w:t>
      </w:r>
    </w:p>
    <w:p w:rsidR="00015789" w:rsidRDefault="00A1685B">
      <w:pPr>
        <w:spacing w:before="0" w:beforeAutospacing="0" w:after="120" w:afterAutospacing="0"/>
        <w:ind w:right="142"/>
      </w:pPr>
      <w:r>
        <w:t>- PTXAS: Persoal Técnico de Xestión de Administración e Servizos.</w:t>
      </w:r>
    </w:p>
    <w:p w:rsidR="00015789" w:rsidRDefault="00A1685B">
      <w:pPr>
        <w:spacing w:before="0" w:beforeAutospacing="0" w:after="120" w:afterAutospacing="0"/>
        <w:ind w:right="142"/>
      </w:pPr>
      <w:r>
        <w:t>- QSP: Queixas, Suxestións e Parabéns.</w:t>
      </w:r>
    </w:p>
    <w:p w:rsidR="00015789" w:rsidRDefault="00A1685B">
      <w:pPr>
        <w:spacing w:before="0" w:beforeAutospacing="0" w:after="120" w:afterAutospacing="0"/>
        <w:ind w:right="142"/>
      </w:pPr>
      <w:r>
        <w:t>- SGIC: Sistema de Garantía Interna de Calidade.</w:t>
      </w:r>
    </w:p>
    <w:p w:rsidR="00015789" w:rsidRDefault="00A1685B">
      <w:pPr>
        <w:spacing w:before="0" w:beforeAutospacing="0" w:after="120" w:afterAutospacing="0"/>
        <w:ind w:right="142"/>
      </w:pPr>
      <w:r>
        <w:t>- UAP: Unidade de Análises e Programas.</w:t>
      </w:r>
    </w:p>
    <w:p w:rsidR="00015789" w:rsidRDefault="00A1685B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:rsidR="00015789" w:rsidRDefault="00A1685B">
      <w:pPr>
        <w:pStyle w:val="Ttulo1"/>
        <w:tabs>
          <w:tab w:val="left" w:pos="9781"/>
        </w:tabs>
        <w:ind w:right="142"/>
      </w:pPr>
      <w:bookmarkStart w:id="3" w:name="_Toc9497079"/>
      <w:r>
        <w:t>IV DESENVOLVEMENTO</w:t>
      </w:r>
      <w:bookmarkEnd w:id="3"/>
    </w:p>
    <w:p w:rsidR="00015789" w:rsidRDefault="00A1685B">
      <w:pPr>
        <w:pStyle w:val="Ttulo2"/>
        <w:numPr>
          <w:ilvl w:val="0"/>
          <w:numId w:val="6"/>
        </w:numPr>
        <w:tabs>
          <w:tab w:val="left" w:pos="9781"/>
        </w:tabs>
        <w:ind w:right="142"/>
      </w:pPr>
      <w:r>
        <w:t>Finalidade do proceso</w:t>
      </w:r>
    </w:p>
    <w:p w:rsidR="00015789" w:rsidRDefault="00A1685B">
      <w:pPr>
        <w:tabs>
          <w:tab w:val="left" w:pos="9781"/>
        </w:tabs>
        <w:spacing w:after="120" w:afterAutospacing="0"/>
        <w:ind w:right="142"/>
      </w:pPr>
      <w:r>
        <w:t>Garantir a execución efectiva das ensinanzas é conforme ao establecido no plan de estudos, asegurar a dispoñibilidade pública da información relevante, detectar posibles deficiencias e identificar boas prácticas no desenvolvemento do ensino e aportar suxestións ou recomendación que permitan a mellora continua, con independencia se o centro docente estea ou non acreditado institucionalmente.</w:t>
      </w:r>
    </w:p>
    <w:p w:rsidR="00015789" w:rsidRDefault="00015789">
      <w:pPr>
        <w:tabs>
          <w:tab w:val="left" w:pos="9781"/>
        </w:tabs>
        <w:ind w:right="142"/>
      </w:pPr>
    </w:p>
    <w:p w:rsidR="00015789" w:rsidRDefault="00A1685B">
      <w:pPr>
        <w:pStyle w:val="Ttulo2"/>
        <w:numPr>
          <w:ilvl w:val="0"/>
          <w:numId w:val="6"/>
        </w:numPr>
        <w:tabs>
          <w:tab w:val="left" w:pos="9781"/>
        </w:tabs>
        <w:spacing w:before="100" w:after="100"/>
        <w:ind w:right="142"/>
      </w:pPr>
      <w:r>
        <w:t>Responsable do proceso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Coordinación da titulación.</w:t>
      </w:r>
    </w:p>
    <w:p w:rsidR="00015789" w:rsidRDefault="00A1685B">
      <w:pPr>
        <w:pStyle w:val="Prrafodelista"/>
        <w:numPr>
          <w:ilvl w:val="0"/>
          <w:numId w:val="3"/>
        </w:numPr>
        <w:spacing w:after="120" w:afterAutospacing="0"/>
        <w:ind w:left="357" w:right="142" w:hanging="357"/>
        <w:contextualSpacing w:val="0"/>
      </w:pPr>
      <w:r>
        <w:t>Coordinación de calidade do Centro.</w:t>
      </w:r>
    </w:p>
    <w:p w:rsidR="00015789" w:rsidRDefault="00015789">
      <w:pPr>
        <w:tabs>
          <w:tab w:val="left" w:pos="9781"/>
        </w:tabs>
        <w:ind w:right="142"/>
        <w:rPr>
          <w:color w:val="1D1B11" w:themeColor="background2" w:themeShade="1A"/>
        </w:rPr>
      </w:pPr>
    </w:p>
    <w:p w:rsidR="00015789" w:rsidRDefault="00A1685B">
      <w:pPr>
        <w:pStyle w:val="Ttulo2"/>
        <w:numPr>
          <w:ilvl w:val="0"/>
          <w:numId w:val="6"/>
        </w:numPr>
        <w:tabs>
          <w:tab w:val="left" w:pos="9781"/>
        </w:tabs>
        <w:ind w:right="142"/>
      </w:pPr>
      <w:r>
        <w:t>Indicadores</w:t>
      </w:r>
    </w:p>
    <w:p w:rsidR="00015789" w:rsidRDefault="00A1685B">
      <w:pPr>
        <w:ind w:right="142"/>
      </w:pPr>
      <w:r>
        <w:t xml:space="preserve">Para a medición dos resultados asociados a este procedemento terase en conta o panel de indicadores centralizado segundo o establecido no procedemento </w:t>
      </w:r>
      <w:r>
        <w:rPr>
          <w:i/>
        </w:rPr>
        <w:t xml:space="preserve">“DE-02 </w:t>
      </w:r>
      <w:r w:rsidR="000653B1">
        <w:rPr>
          <w:i/>
        </w:rPr>
        <w:t xml:space="preserve">Seguimento </w:t>
      </w:r>
      <w:r>
        <w:rPr>
          <w:i/>
        </w:rPr>
        <w:t>e Medición”</w:t>
      </w:r>
      <w:r>
        <w:t>.</w:t>
      </w:r>
    </w:p>
    <w:p w:rsidR="00015789" w:rsidRDefault="00A1685B">
      <w:pPr>
        <w:ind w:right="142"/>
      </w:pPr>
      <w:r>
        <w:t>A descrición e o modo de cálculo destes indicadores están definidos no catálogo de indicadores, dispoñible no portal de transparencia da Universidade de Vigo.</w:t>
      </w:r>
    </w:p>
    <w:p w:rsidR="00015789" w:rsidRDefault="00015789">
      <w:pPr>
        <w:tabs>
          <w:tab w:val="left" w:pos="9781"/>
        </w:tabs>
        <w:spacing w:after="120" w:afterAutospacing="0"/>
        <w:ind w:right="142"/>
      </w:pPr>
    </w:p>
    <w:p w:rsidR="00015789" w:rsidRDefault="00015789">
      <w:pPr>
        <w:tabs>
          <w:tab w:val="left" w:pos="9781"/>
        </w:tabs>
        <w:ind w:right="142"/>
      </w:pPr>
    </w:p>
    <w:p w:rsidR="00015789" w:rsidRDefault="00015789">
      <w:pPr>
        <w:tabs>
          <w:tab w:val="left" w:pos="9781"/>
        </w:tabs>
        <w:ind w:right="142"/>
      </w:pPr>
    </w:p>
    <w:p w:rsidR="00015789" w:rsidRDefault="00015789"/>
    <w:p w:rsidR="00015789" w:rsidRDefault="00A1685B">
      <w:pPr>
        <w:tabs>
          <w:tab w:val="clear" w:pos="1276"/>
        </w:tabs>
        <w:spacing w:before="0" w:beforeAutospacing="0" w:after="200" w:afterAutospacing="0" w:line="276" w:lineRule="auto"/>
        <w:ind w:right="0"/>
        <w:jc w:val="left"/>
      </w:pPr>
      <w:r>
        <w:br w:type="page"/>
      </w:r>
    </w:p>
    <w:p w:rsidR="00015789" w:rsidRDefault="00A1685B">
      <w:pPr>
        <w:pStyle w:val="Ttulo2"/>
        <w:numPr>
          <w:ilvl w:val="0"/>
          <w:numId w:val="6"/>
        </w:numPr>
      </w:pPr>
      <w:r>
        <w:t>Diagrama de fluxo</w:t>
      </w:r>
    </w:p>
    <w:bookmarkStart w:id="4" w:name="_MON_1745737201"/>
    <w:bookmarkEnd w:id="4"/>
    <w:p w:rsidR="00015789" w:rsidRDefault="00A1685B">
      <w:r>
        <w:object w:dxaOrig="9510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pt;height:641.1pt" o:ole="">
            <v:imagedata r:id="rId10" o:title="" croptop="2071f" cropbottom="5394f" cropleft="1034f" cropright="2776f"/>
          </v:shape>
          <o:OLEObject Type="Embed" ProgID="Visio.Drawing.11" ShapeID="_x0000_i1025" DrawAspect="Content" ObjectID="_1768220376" r:id="rId11"/>
        </w:object>
      </w:r>
    </w:p>
    <w:p w:rsidR="00015789" w:rsidRDefault="00A1685B">
      <w:pPr>
        <w:tabs>
          <w:tab w:val="clear" w:pos="1276"/>
        </w:tabs>
        <w:spacing w:before="0" w:beforeAutospacing="0" w:after="200" w:afterAutospacing="0" w:line="276" w:lineRule="auto"/>
        <w:ind w:right="142" w:hanging="284"/>
        <w:jc w:val="left"/>
      </w:pPr>
      <w:r>
        <w:object w:dxaOrig="9990" w:dyaOrig="13515">
          <v:shape id="_x0000_i1026" type="#_x0000_t75" alt="" style="width:499.6pt;height:610.45pt" o:ole="">
            <v:imagedata r:id="rId12" o:title="" croptop="1693f" cropbottom="10745f" cropleft="1034f" cropright="8848f"/>
          </v:shape>
          <o:OLEObject Type="Embed" ProgID="Visio.Drawing.11" ShapeID="_x0000_i1026" DrawAspect="Content" ObjectID="_1768220377" r:id="rId13"/>
        </w:object>
      </w:r>
      <w:r>
        <w:br w:type="page"/>
      </w:r>
    </w:p>
    <w:p w:rsidR="00015789" w:rsidRDefault="00A1685B">
      <w:pPr>
        <w:pStyle w:val="Ttulo1"/>
        <w:ind w:right="142"/>
      </w:pPr>
      <w:bookmarkStart w:id="5" w:name="_Toc9497080"/>
      <w:bookmarkStart w:id="6" w:name="_Toc347908984"/>
      <w:r>
        <w:t>V ANEXOS</w:t>
      </w:r>
      <w:bookmarkEnd w:id="5"/>
      <w:bookmarkEnd w:id="6"/>
    </w:p>
    <w:p w:rsidR="00015789" w:rsidRDefault="00A1685B">
      <w:pPr>
        <w:pStyle w:val="Ttulo2"/>
        <w:ind w:right="142"/>
      </w:pPr>
      <w:r>
        <w:t>Rexistros</w:t>
      </w:r>
    </w:p>
    <w:tbl>
      <w:tblPr>
        <w:tblStyle w:val="Sombreadoclaro-nfasis113"/>
        <w:tblW w:w="9923" w:type="dxa"/>
        <w:tblInd w:w="-289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98"/>
        <w:gridCol w:w="1663"/>
        <w:gridCol w:w="1842"/>
        <w:gridCol w:w="1134"/>
      </w:tblGrid>
      <w:tr w:rsidR="00015789" w:rsidTr="0001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Identificación do rexistro</w:t>
            </w:r>
          </w:p>
        </w:tc>
        <w:tc>
          <w:tcPr>
            <w:tcW w:w="1598" w:type="dxa"/>
            <w:vMerge w:val="restart"/>
            <w:tcBorders>
              <w:top w:val="single" w:sz="4" w:space="0" w:color="4BACC6" w:themeColor="accent5"/>
              <w:left w:val="dotted" w:sz="4" w:space="0" w:color="auto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Soporte orixinal</w:t>
            </w:r>
          </w:p>
        </w:tc>
        <w:tc>
          <w:tcPr>
            <w:tcW w:w="1663" w:type="dxa"/>
            <w:vMerge w:val="restart"/>
            <w:tcBorders>
              <w:top w:val="single" w:sz="4" w:space="0" w:color="4BACC6" w:themeColor="accent5"/>
              <w:left w:val="dotted" w:sz="4" w:space="0" w:color="auto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color w:val="auto"/>
                <w:sz w:val="20"/>
                <w:szCs w:val="20"/>
                <w:lang w:eastAsia="es-ES"/>
              </w:rPr>
              <w:t>Lugar de arquivo</w:t>
            </w:r>
          </w:p>
        </w:tc>
        <w:tc>
          <w:tcPr>
            <w:tcW w:w="1842" w:type="dxa"/>
            <w:vMerge w:val="restart"/>
            <w:tcBorders>
              <w:top w:val="single" w:sz="4" w:space="0" w:color="4BACC6" w:themeColor="accent5"/>
              <w:left w:val="dotted" w:sz="4" w:space="0" w:color="auto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Responsable da custodia</w:t>
            </w:r>
          </w:p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(órgano/posto)</w:t>
            </w:r>
          </w:p>
        </w:tc>
        <w:tc>
          <w:tcPr>
            <w:tcW w:w="1134" w:type="dxa"/>
            <w:vMerge w:val="restart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Duración</w:t>
            </w:r>
          </w:p>
        </w:tc>
      </w:tr>
      <w:tr w:rsidR="00015789" w:rsidTr="00015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598" w:type="dxa"/>
            <w:vMerge/>
            <w:tcBorders>
              <w:left w:val="dotted" w:sz="4" w:space="0" w:color="auto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  <w:vAlign w:val="center"/>
          </w:tcPr>
          <w:p w:rsidR="00015789" w:rsidRDefault="00015789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663" w:type="dxa"/>
            <w:vMerge/>
            <w:tcBorders>
              <w:left w:val="dotted" w:sz="4" w:space="0" w:color="auto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</w:tcPr>
          <w:p w:rsidR="00015789" w:rsidRDefault="00015789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Merge/>
            <w:tcBorders>
              <w:left w:val="dotted" w:sz="4" w:space="0" w:color="auto"/>
              <w:bottom w:val="single" w:sz="4" w:space="0" w:color="4BACC6" w:themeColor="accent5"/>
              <w:right w:val="nil"/>
            </w:tcBorders>
            <w:shd w:val="clear" w:color="auto" w:fill="B8CCE4" w:themeFill="accent1" w:themeFillTint="66"/>
            <w:vAlign w:val="center"/>
          </w:tcPr>
          <w:p w:rsidR="00015789" w:rsidRDefault="00015789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:rsidR="00015789" w:rsidRDefault="00015789">
            <w:pPr>
              <w:tabs>
                <w:tab w:val="clear" w:pos="1276"/>
              </w:tabs>
              <w:spacing w:before="0" w:beforeAutospacing="0" w:after="0" w:afterAutospacing="0" w:line="276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  <w:lang w:eastAsia="es-ES"/>
              </w:rPr>
            </w:pPr>
          </w:p>
        </w:tc>
      </w:tr>
      <w:tr w:rsidR="00015789" w:rsidTr="0001578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  <w:t>R1 DO-0102</w:t>
            </w:r>
          </w:p>
        </w:tc>
        <w:tc>
          <w:tcPr>
            <w:tcW w:w="2126" w:type="dxa"/>
            <w:tcBorders>
              <w:top w:val="sing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Informe Final de Seguimento Externo</w:t>
            </w:r>
          </w:p>
        </w:tc>
        <w:tc>
          <w:tcPr>
            <w:tcW w:w="1598" w:type="dxa"/>
            <w:tcBorders>
              <w:top w:val="sing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Electrónico</w:t>
            </w:r>
          </w:p>
        </w:tc>
        <w:tc>
          <w:tcPr>
            <w:tcW w:w="1663" w:type="dxa"/>
            <w:tcBorders>
              <w:top w:val="sing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 w:rsidP="000653B1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highlight w:val="yellow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Aplicación do SGC</w:t>
            </w:r>
          </w:p>
        </w:tc>
        <w:tc>
          <w:tcPr>
            <w:tcW w:w="1842" w:type="dxa"/>
            <w:tcBorders>
              <w:top w:val="sing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Coordinador/a de Calidade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color w:val="auto"/>
                <w:sz w:val="20"/>
                <w:szCs w:val="20"/>
                <w:lang w:eastAsia="es-ES"/>
              </w:rPr>
              <w:t xml:space="preserve">6 anos </w:t>
            </w:r>
          </w:p>
        </w:tc>
      </w:tr>
      <w:tr w:rsidR="00015789" w:rsidTr="0001578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nil"/>
            </w:tcBorders>
            <w:shd w:val="clear" w:color="auto" w:fill="D3DFEE" w:themeFill="accent1" w:themeFillTint="3F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  <w:t>R2 DO-0102</w:t>
            </w:r>
          </w:p>
        </w:tc>
        <w:tc>
          <w:tcPr>
            <w:tcW w:w="2126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nil"/>
            </w:tcBorders>
            <w:shd w:val="clear" w:color="auto" w:fill="D3DFEE" w:themeFill="accent1" w:themeFillTint="3F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Plan de Mellora</w:t>
            </w:r>
          </w:p>
        </w:tc>
        <w:tc>
          <w:tcPr>
            <w:tcW w:w="1598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nil"/>
            </w:tcBorders>
            <w:shd w:val="clear" w:color="auto" w:fill="D3DFEE" w:themeFill="accent1" w:themeFillTint="3F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Electrónico</w:t>
            </w:r>
          </w:p>
        </w:tc>
        <w:tc>
          <w:tcPr>
            <w:tcW w:w="1663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nil"/>
            </w:tcBorders>
            <w:shd w:val="clear" w:color="auto" w:fill="D3DFEE" w:themeFill="accent1" w:themeFillTint="3F"/>
            <w:vAlign w:val="center"/>
          </w:tcPr>
          <w:p w:rsidR="00015789" w:rsidRDefault="00A1685B" w:rsidP="000653B1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Aplicación do SGC</w:t>
            </w:r>
          </w:p>
        </w:tc>
        <w:tc>
          <w:tcPr>
            <w:tcW w:w="1842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nil"/>
            </w:tcBorders>
            <w:shd w:val="clear" w:color="auto" w:fill="D3DFEE" w:themeFill="accent1" w:themeFillTint="3F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Coordinador/a de Calidade do Centro</w:t>
            </w:r>
          </w:p>
        </w:tc>
        <w:tc>
          <w:tcPr>
            <w:tcW w:w="1134" w:type="dxa"/>
            <w:tcBorders>
              <w:top w:val="dotted" w:sz="4" w:space="0" w:color="4BACC6" w:themeColor="accent5"/>
              <w:left w:val="dotted" w:sz="4" w:space="0" w:color="4BACC6" w:themeColor="accent5"/>
              <w:bottom w:val="dotted" w:sz="4" w:space="0" w:color="4BACC6" w:themeColor="accent5"/>
              <w:right w:val="dotted" w:sz="4" w:space="0" w:color="4BACC6" w:themeColor="accent5"/>
            </w:tcBorders>
            <w:shd w:val="clear" w:color="auto" w:fill="D3DFEE" w:themeFill="accent1" w:themeFillTint="3F"/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color w:val="auto"/>
                <w:sz w:val="20"/>
                <w:szCs w:val="20"/>
                <w:lang w:eastAsia="es-ES"/>
              </w:rPr>
              <w:t xml:space="preserve">6 anos </w:t>
            </w:r>
          </w:p>
        </w:tc>
      </w:tr>
      <w:tr w:rsidR="00015789" w:rsidTr="0001578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0"/>
              <w:jc w:val="center"/>
              <w:rPr>
                <w:rFonts w:cs="Arial"/>
                <w:bCs w:val="0"/>
                <w:color w:val="auto"/>
                <w:sz w:val="20"/>
                <w:szCs w:val="20"/>
                <w:lang w:eastAsia="es-ES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eastAsia="es-ES"/>
              </w:rPr>
              <w:t>R3 DO-0102</w:t>
            </w:r>
          </w:p>
        </w:tc>
        <w:tc>
          <w:tcPr>
            <w:tcW w:w="2126" w:type="dxa"/>
            <w:tcBorders>
              <w:top w:val="dotted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Informe de Revisión Interna</w:t>
            </w:r>
          </w:p>
        </w:tc>
        <w:tc>
          <w:tcPr>
            <w:tcW w:w="1598" w:type="dxa"/>
            <w:tcBorders>
              <w:top w:val="dotted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Electrónico</w:t>
            </w:r>
          </w:p>
        </w:tc>
        <w:tc>
          <w:tcPr>
            <w:tcW w:w="1663" w:type="dxa"/>
            <w:tcBorders>
              <w:top w:val="dotted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 w:rsidP="000653B1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Aplicación do SGC</w:t>
            </w:r>
            <w:bookmarkStart w:id="7" w:name="_GoBack"/>
            <w:bookmarkEnd w:id="7"/>
          </w:p>
        </w:tc>
        <w:tc>
          <w:tcPr>
            <w:tcW w:w="1842" w:type="dxa"/>
            <w:tcBorders>
              <w:top w:val="dotted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Cs/>
                <w:color w:val="auto"/>
                <w:sz w:val="20"/>
                <w:szCs w:val="20"/>
                <w:lang w:eastAsia="es-ES"/>
              </w:rPr>
              <w:t>Coordinador/a de Calidade do Centro</w:t>
            </w:r>
          </w:p>
        </w:tc>
        <w:tc>
          <w:tcPr>
            <w:tcW w:w="1134" w:type="dxa"/>
            <w:tcBorders>
              <w:top w:val="dotted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015789" w:rsidRDefault="00A1685B">
            <w:pPr>
              <w:tabs>
                <w:tab w:val="clear" w:pos="1276"/>
              </w:tabs>
              <w:spacing w:before="0" w:beforeAutospacing="0" w:after="0" w:afterAutospacing="0" w:line="240" w:lineRule="auto"/>
              <w:ind w:righ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color w:val="auto"/>
                <w:sz w:val="20"/>
                <w:szCs w:val="20"/>
                <w:lang w:eastAsia="es-ES"/>
              </w:rPr>
              <w:t xml:space="preserve">6 anos </w:t>
            </w:r>
          </w:p>
        </w:tc>
      </w:tr>
    </w:tbl>
    <w:p w:rsidR="00015789" w:rsidRDefault="00015789"/>
    <w:p w:rsidR="00015789" w:rsidRDefault="00015789">
      <w:pPr>
        <w:rPr>
          <w:lang w:eastAsia="fr-FR"/>
        </w:rPr>
      </w:pPr>
    </w:p>
    <w:sectPr w:rsidR="0001578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849" w:bottom="170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89" w:rsidRDefault="00A1685B">
      <w:pPr>
        <w:spacing w:line="240" w:lineRule="auto"/>
      </w:pPr>
      <w:r>
        <w:separator/>
      </w:r>
    </w:p>
  </w:endnote>
  <w:endnote w:type="continuationSeparator" w:id="0">
    <w:p w:rsidR="00015789" w:rsidRDefault="00A16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1984"/>
      <w:gridCol w:w="1985"/>
      <w:gridCol w:w="1417"/>
    </w:tblGrid>
    <w:tr w:rsidR="00015789">
      <w:trPr>
        <w:trHeight w:val="988"/>
      </w:trPr>
      <w:tc>
        <w:tcPr>
          <w:tcW w:w="5495" w:type="dxa"/>
          <w:shd w:val="clear" w:color="auto" w:fill="auto"/>
        </w:tcPr>
        <w:p w:rsidR="00015789" w:rsidRDefault="00A1685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>
                <wp:extent cx="2468880" cy="436880"/>
                <wp:effectExtent l="2540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015789" w:rsidRDefault="00A1685B">
          <w:pPr>
            <w:pStyle w:val="AreaCalidade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:rsidR="00015789" w:rsidRDefault="00A1685B">
          <w:pPr>
            <w:pStyle w:val="Enderezo"/>
            <w:framePr w:hSpace="0" w:wrap="auto" w:vAnchor="margin" w:hAnchor="text" w:xAlign="left" w:yAlign="inline"/>
          </w:pPr>
          <w:r>
            <w:t>Edificio Ernestina Otero</w:t>
          </w:r>
        </w:p>
        <w:p w:rsidR="00015789" w:rsidRDefault="00A1685B">
          <w:pPr>
            <w:pStyle w:val="Enderezo"/>
            <w:framePr w:hSpace="0" w:wrap="auto" w:vAnchor="margin" w:hAnchor="text" w:xAlign="left" w:yAlign="inline"/>
          </w:pPr>
          <w:proofErr w:type="spellStart"/>
          <w:r>
            <w:t>3.</w:t>
          </w:r>
          <w:r>
            <w:rPr>
              <w:vertAlign w:val="superscript"/>
            </w:rPr>
            <w:t>o</w:t>
          </w:r>
          <w:proofErr w:type="spellEnd"/>
          <w:r>
            <w:t xml:space="preserve"> andar                </w:t>
          </w:r>
        </w:p>
        <w:p w:rsidR="00015789" w:rsidRDefault="00A1685B">
          <w:pPr>
            <w:pStyle w:val="Enderezo"/>
            <w:framePr w:hSpace="0" w:wrap="auto" w:vAnchor="margin" w:hAnchor="text" w:xAlign="left" w:yAlign="inline"/>
          </w:pPr>
          <w:r>
            <w:t>Campus universitario</w:t>
          </w:r>
          <w:r>
            <w:br/>
            <w:t>36310 Vigo</w:t>
          </w:r>
          <w: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:rsidR="00015789" w:rsidRDefault="00A1685B">
          <w:pPr>
            <w:pStyle w:val="Enderezocomprimido"/>
            <w:framePr w:hSpace="0" w:wrap="auto" w:vAnchor="margin" w:hAnchor="text" w:xAlign="left" w:yAlign="inline"/>
            <w:rPr>
              <w:spacing w:val="0"/>
            </w:rPr>
          </w:pPr>
          <w:proofErr w:type="spellStart"/>
          <w:r>
            <w:t>Tel</w:t>
          </w:r>
          <w:proofErr w:type="spellEnd"/>
          <w:r>
            <w:t>.: 986 813 897</w:t>
          </w:r>
          <w:r>
            <w:br/>
          </w:r>
          <w:r>
            <w:rPr>
              <w:spacing w:val="0"/>
            </w:rPr>
            <w:t>uvigo.gal/universidade/calidade</w:t>
          </w:r>
        </w:p>
        <w:p w:rsidR="00015789" w:rsidRDefault="00015789">
          <w:pPr>
            <w:pStyle w:val="Enderezocomprimido"/>
            <w:framePr w:hSpace="0" w:wrap="auto" w:vAnchor="margin" w:hAnchor="text" w:xAlign="left" w:yAlign="inline"/>
          </w:pPr>
        </w:p>
      </w:tc>
    </w:tr>
  </w:tbl>
  <w:p w:rsidR="00015789" w:rsidRDefault="000157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8755"/>
      <w:gridCol w:w="1985"/>
    </w:tblGrid>
    <w:tr w:rsidR="00015789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015789" w:rsidRDefault="00A1685B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>
                <wp:extent cx="2468880" cy="436880"/>
                <wp:effectExtent l="2540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:rsidR="00015789" w:rsidRDefault="00A1685B">
          <w:pPr>
            <w:pStyle w:val="AreaCalidade"/>
            <w:jc w:val="left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:rsidR="00015789" w:rsidRDefault="00A1685B">
    <w:pPr>
      <w:rPr>
        <w:b/>
        <w:color w:val="00B0F0"/>
        <w:lang w:val="es-ES" w:eastAsia="es-ES"/>
      </w:rPr>
    </w:pPr>
    <w:r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89" w:rsidRDefault="00A1685B">
      <w:pPr>
        <w:spacing w:before="0" w:after="0"/>
      </w:pPr>
      <w:r>
        <w:separator/>
      </w:r>
    </w:p>
  </w:footnote>
  <w:footnote w:type="continuationSeparator" w:id="0">
    <w:p w:rsidR="00015789" w:rsidRDefault="00A168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9" w:rsidRDefault="00A1685B">
    <w:pPr>
      <w:pStyle w:val="Ttulo3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9" w:rsidRDefault="00015789">
    <w:pPr>
      <w:pStyle w:val="Encabezado"/>
    </w:pPr>
  </w:p>
  <w:p w:rsidR="00015789" w:rsidRDefault="00015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9" w:rsidRPr="00EB1552" w:rsidRDefault="00A1685B">
    <w:pPr>
      <w:pStyle w:val="Encabezado"/>
      <w:tabs>
        <w:tab w:val="clear" w:pos="1276"/>
        <w:tab w:val="clear" w:pos="4252"/>
        <w:tab w:val="clear" w:pos="8504"/>
        <w:tab w:val="left" w:pos="8505"/>
      </w:tabs>
      <w:spacing w:before="0" w:beforeAutospacing="0" w:after="120" w:afterAutospacing="0"/>
      <w:rPr>
        <w:sz w:val="20"/>
      </w:rPr>
    </w:pPr>
    <w:r w:rsidRPr="00EB1552">
      <w:rPr>
        <w:sz w:val="20"/>
      </w:rPr>
      <w:t xml:space="preserve">Procedemento de Seguimento e Mellora das Titulacións                           DO-0102  </w:t>
    </w:r>
    <w:r w:rsidRPr="00EB1552">
      <w:rPr>
        <w:sz w:val="20"/>
      </w:rPr>
      <w:tab/>
      <w:t xml:space="preserve">Páxina </w:t>
    </w:r>
    <w:r w:rsidRPr="00EB1552">
      <w:rPr>
        <w:sz w:val="20"/>
      </w:rPr>
      <w:fldChar w:fldCharType="begin"/>
    </w:r>
    <w:r w:rsidRPr="00EB1552">
      <w:rPr>
        <w:sz w:val="20"/>
      </w:rPr>
      <w:instrText xml:space="preserve"> PAGE   \* MERGEFORMAT </w:instrText>
    </w:r>
    <w:r w:rsidRPr="00EB1552">
      <w:rPr>
        <w:sz w:val="20"/>
      </w:rPr>
      <w:fldChar w:fldCharType="separate"/>
    </w:r>
    <w:r w:rsidR="000653B1">
      <w:rPr>
        <w:noProof/>
        <w:sz w:val="20"/>
      </w:rPr>
      <w:t>10</w:t>
    </w:r>
    <w:r w:rsidRPr="00EB1552">
      <w:rPr>
        <w:sz w:val="20"/>
      </w:rPr>
      <w:fldChar w:fldCharType="end"/>
    </w:r>
    <w:r w:rsidRPr="00EB1552">
      <w:rPr>
        <w:sz w:val="20"/>
      </w:rPr>
      <w:t xml:space="preserve"> de </w:t>
    </w:r>
    <w:r w:rsidRPr="00EB1552">
      <w:rPr>
        <w:sz w:val="20"/>
      </w:rPr>
      <w:fldChar w:fldCharType="begin"/>
    </w:r>
    <w:r w:rsidRPr="00EB1552">
      <w:rPr>
        <w:sz w:val="20"/>
      </w:rPr>
      <w:instrText xml:space="preserve"> NUMPAGES   \* MERGEFORMAT </w:instrText>
    </w:r>
    <w:r w:rsidRPr="00EB1552">
      <w:rPr>
        <w:sz w:val="20"/>
      </w:rPr>
      <w:fldChar w:fldCharType="separate"/>
    </w:r>
    <w:r w:rsidR="000653B1">
      <w:rPr>
        <w:noProof/>
        <w:sz w:val="20"/>
      </w:rPr>
      <w:t>11</w:t>
    </w:r>
    <w:r w:rsidRPr="00EB1552">
      <w:rPr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89" w:rsidRDefault="000157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B3"/>
    <w:multiLevelType w:val="multilevel"/>
    <w:tmpl w:val="086962B3"/>
    <w:lvl w:ilvl="0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6D5A6C"/>
    <w:multiLevelType w:val="multilevel"/>
    <w:tmpl w:val="146D5A6C"/>
    <w:lvl w:ilvl="0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074E"/>
    <w:multiLevelType w:val="multilevel"/>
    <w:tmpl w:val="14F70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D5CBC"/>
    <w:multiLevelType w:val="multilevel"/>
    <w:tmpl w:val="360D5CBC"/>
    <w:lvl w:ilvl="0">
      <w:numFmt w:val="bullet"/>
      <w:lvlText w:val="•"/>
      <w:lvlJc w:val="left"/>
      <w:pPr>
        <w:ind w:left="720" w:hanging="360"/>
      </w:pPr>
      <w:rPr>
        <w:rFonts w:ascii="New Baskerville" w:eastAsia="SimSun" w:hAnsi="New Baskerville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2BBD"/>
    <w:multiLevelType w:val="multilevel"/>
    <w:tmpl w:val="51CF2BBD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4491"/>
    <w:multiLevelType w:val="multilevel"/>
    <w:tmpl w:val="71244491"/>
    <w:lvl w:ilvl="0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032E5"/>
    <w:rsid w:val="000106C4"/>
    <w:rsid w:val="000116F8"/>
    <w:rsid w:val="00011C20"/>
    <w:rsid w:val="000123F3"/>
    <w:rsid w:val="000124BD"/>
    <w:rsid w:val="00015789"/>
    <w:rsid w:val="00020B7C"/>
    <w:rsid w:val="00021DF7"/>
    <w:rsid w:val="0002599C"/>
    <w:rsid w:val="00025ACB"/>
    <w:rsid w:val="000264C5"/>
    <w:rsid w:val="000271B1"/>
    <w:rsid w:val="000274FB"/>
    <w:rsid w:val="00027F13"/>
    <w:rsid w:val="00030C0A"/>
    <w:rsid w:val="00030D2F"/>
    <w:rsid w:val="0003220B"/>
    <w:rsid w:val="000335EB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5F5"/>
    <w:rsid w:val="00047F1A"/>
    <w:rsid w:val="000508D8"/>
    <w:rsid w:val="00050B2D"/>
    <w:rsid w:val="00052879"/>
    <w:rsid w:val="00053424"/>
    <w:rsid w:val="0005629E"/>
    <w:rsid w:val="00062EFE"/>
    <w:rsid w:val="00065166"/>
    <w:rsid w:val="000653B1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5A0D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58E9"/>
    <w:rsid w:val="000960D5"/>
    <w:rsid w:val="0009641B"/>
    <w:rsid w:val="00096CA4"/>
    <w:rsid w:val="000A1819"/>
    <w:rsid w:val="000A3767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21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0F74CC"/>
    <w:rsid w:val="00100A8B"/>
    <w:rsid w:val="00101451"/>
    <w:rsid w:val="0010225C"/>
    <w:rsid w:val="00105085"/>
    <w:rsid w:val="001052E4"/>
    <w:rsid w:val="00106266"/>
    <w:rsid w:val="00106E8B"/>
    <w:rsid w:val="001127E1"/>
    <w:rsid w:val="00112B99"/>
    <w:rsid w:val="00112DDF"/>
    <w:rsid w:val="00112F70"/>
    <w:rsid w:val="00113931"/>
    <w:rsid w:val="001147C1"/>
    <w:rsid w:val="00115A66"/>
    <w:rsid w:val="00116CB2"/>
    <w:rsid w:val="00117A11"/>
    <w:rsid w:val="00117CD0"/>
    <w:rsid w:val="00121135"/>
    <w:rsid w:val="00122845"/>
    <w:rsid w:val="001238C3"/>
    <w:rsid w:val="001259BC"/>
    <w:rsid w:val="00125EA5"/>
    <w:rsid w:val="00126507"/>
    <w:rsid w:val="0012774A"/>
    <w:rsid w:val="00132BA6"/>
    <w:rsid w:val="00134292"/>
    <w:rsid w:val="00135420"/>
    <w:rsid w:val="001361F9"/>
    <w:rsid w:val="00136C43"/>
    <w:rsid w:val="001375A8"/>
    <w:rsid w:val="00141C05"/>
    <w:rsid w:val="00142746"/>
    <w:rsid w:val="00142783"/>
    <w:rsid w:val="00143135"/>
    <w:rsid w:val="001435AA"/>
    <w:rsid w:val="00145791"/>
    <w:rsid w:val="001459FC"/>
    <w:rsid w:val="001467DF"/>
    <w:rsid w:val="00146A37"/>
    <w:rsid w:val="00147643"/>
    <w:rsid w:val="00155B8A"/>
    <w:rsid w:val="0015721B"/>
    <w:rsid w:val="00157A63"/>
    <w:rsid w:val="00160A33"/>
    <w:rsid w:val="00160BBB"/>
    <w:rsid w:val="00161DF5"/>
    <w:rsid w:val="00163CB3"/>
    <w:rsid w:val="00165EC2"/>
    <w:rsid w:val="0016625B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1B82"/>
    <w:rsid w:val="001A20C7"/>
    <w:rsid w:val="001A3FCD"/>
    <w:rsid w:val="001A70B1"/>
    <w:rsid w:val="001A785E"/>
    <w:rsid w:val="001A7BDA"/>
    <w:rsid w:val="001B264D"/>
    <w:rsid w:val="001B387E"/>
    <w:rsid w:val="001B5517"/>
    <w:rsid w:val="001B6264"/>
    <w:rsid w:val="001B781B"/>
    <w:rsid w:val="001C1447"/>
    <w:rsid w:val="001C1C04"/>
    <w:rsid w:val="001C47C8"/>
    <w:rsid w:val="001C546B"/>
    <w:rsid w:val="001C6138"/>
    <w:rsid w:val="001C773E"/>
    <w:rsid w:val="001C7E86"/>
    <w:rsid w:val="001C7FA0"/>
    <w:rsid w:val="001D0990"/>
    <w:rsid w:val="001D1A9B"/>
    <w:rsid w:val="001D21F8"/>
    <w:rsid w:val="001D2725"/>
    <w:rsid w:val="001D53FC"/>
    <w:rsid w:val="001D53FD"/>
    <w:rsid w:val="001D61C5"/>
    <w:rsid w:val="001D7C03"/>
    <w:rsid w:val="001E3938"/>
    <w:rsid w:val="001E400A"/>
    <w:rsid w:val="001E44DE"/>
    <w:rsid w:val="001E7539"/>
    <w:rsid w:val="001F0CEE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309B"/>
    <w:rsid w:val="00204B86"/>
    <w:rsid w:val="00206294"/>
    <w:rsid w:val="002063B1"/>
    <w:rsid w:val="00206565"/>
    <w:rsid w:val="00206650"/>
    <w:rsid w:val="00206D31"/>
    <w:rsid w:val="002111BF"/>
    <w:rsid w:val="00211A2C"/>
    <w:rsid w:val="002211D0"/>
    <w:rsid w:val="00225535"/>
    <w:rsid w:val="0022775F"/>
    <w:rsid w:val="00227FEB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2BAA"/>
    <w:rsid w:val="00252F96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7FF"/>
    <w:rsid w:val="00283E50"/>
    <w:rsid w:val="0028423F"/>
    <w:rsid w:val="00286446"/>
    <w:rsid w:val="002909C1"/>
    <w:rsid w:val="0029145D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1B6"/>
    <w:rsid w:val="002C1306"/>
    <w:rsid w:val="002C22EC"/>
    <w:rsid w:val="002C28EC"/>
    <w:rsid w:val="002C2AFD"/>
    <w:rsid w:val="002C4287"/>
    <w:rsid w:val="002C469B"/>
    <w:rsid w:val="002C4BEC"/>
    <w:rsid w:val="002D0D3C"/>
    <w:rsid w:val="002D168F"/>
    <w:rsid w:val="002D2434"/>
    <w:rsid w:val="002D317B"/>
    <w:rsid w:val="002D67A2"/>
    <w:rsid w:val="002D7C00"/>
    <w:rsid w:val="002E0029"/>
    <w:rsid w:val="002E204F"/>
    <w:rsid w:val="002E26F7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0E6F"/>
    <w:rsid w:val="00301DCF"/>
    <w:rsid w:val="00301DD4"/>
    <w:rsid w:val="00307A33"/>
    <w:rsid w:val="00311137"/>
    <w:rsid w:val="00313C8A"/>
    <w:rsid w:val="00314292"/>
    <w:rsid w:val="003156B1"/>
    <w:rsid w:val="00316271"/>
    <w:rsid w:val="00316BD0"/>
    <w:rsid w:val="00317347"/>
    <w:rsid w:val="003221A8"/>
    <w:rsid w:val="003243A3"/>
    <w:rsid w:val="00325074"/>
    <w:rsid w:val="0032578F"/>
    <w:rsid w:val="003270F1"/>
    <w:rsid w:val="0032724B"/>
    <w:rsid w:val="00327CE5"/>
    <w:rsid w:val="00332699"/>
    <w:rsid w:val="00334443"/>
    <w:rsid w:val="003346E1"/>
    <w:rsid w:val="00336DCA"/>
    <w:rsid w:val="003375A5"/>
    <w:rsid w:val="003376B2"/>
    <w:rsid w:val="00340D86"/>
    <w:rsid w:val="00341C44"/>
    <w:rsid w:val="003453B7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3912"/>
    <w:rsid w:val="003640C7"/>
    <w:rsid w:val="00365B81"/>
    <w:rsid w:val="00365D86"/>
    <w:rsid w:val="003662E1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77310"/>
    <w:rsid w:val="00382139"/>
    <w:rsid w:val="00382F07"/>
    <w:rsid w:val="0038304B"/>
    <w:rsid w:val="0038647E"/>
    <w:rsid w:val="00386FB7"/>
    <w:rsid w:val="0038765F"/>
    <w:rsid w:val="00387C34"/>
    <w:rsid w:val="00387C36"/>
    <w:rsid w:val="00390F68"/>
    <w:rsid w:val="00390FAE"/>
    <w:rsid w:val="00392B55"/>
    <w:rsid w:val="0039470F"/>
    <w:rsid w:val="00396E04"/>
    <w:rsid w:val="00397035"/>
    <w:rsid w:val="0039735D"/>
    <w:rsid w:val="003A10D5"/>
    <w:rsid w:val="003A1E95"/>
    <w:rsid w:val="003A23F0"/>
    <w:rsid w:val="003A3EA9"/>
    <w:rsid w:val="003A4477"/>
    <w:rsid w:val="003A5322"/>
    <w:rsid w:val="003A59EE"/>
    <w:rsid w:val="003B0241"/>
    <w:rsid w:val="003B11AD"/>
    <w:rsid w:val="003B5F3B"/>
    <w:rsid w:val="003B689E"/>
    <w:rsid w:val="003C1013"/>
    <w:rsid w:val="003C148F"/>
    <w:rsid w:val="003C2B33"/>
    <w:rsid w:val="003C4197"/>
    <w:rsid w:val="003C4E6B"/>
    <w:rsid w:val="003C56D8"/>
    <w:rsid w:val="003D0077"/>
    <w:rsid w:val="003D0A10"/>
    <w:rsid w:val="003D0D68"/>
    <w:rsid w:val="003D133A"/>
    <w:rsid w:val="003D24CE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0855"/>
    <w:rsid w:val="003F201E"/>
    <w:rsid w:val="003F3664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42A7"/>
    <w:rsid w:val="00405535"/>
    <w:rsid w:val="004059B4"/>
    <w:rsid w:val="00410ABE"/>
    <w:rsid w:val="00410F80"/>
    <w:rsid w:val="00411BB2"/>
    <w:rsid w:val="00411DFA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D3D"/>
    <w:rsid w:val="004318F4"/>
    <w:rsid w:val="00432051"/>
    <w:rsid w:val="004322BC"/>
    <w:rsid w:val="00433D06"/>
    <w:rsid w:val="00435341"/>
    <w:rsid w:val="0043599E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334"/>
    <w:rsid w:val="00453726"/>
    <w:rsid w:val="0045495C"/>
    <w:rsid w:val="00456243"/>
    <w:rsid w:val="00457D63"/>
    <w:rsid w:val="00461899"/>
    <w:rsid w:val="004630F6"/>
    <w:rsid w:val="00463A81"/>
    <w:rsid w:val="004640A4"/>
    <w:rsid w:val="00464489"/>
    <w:rsid w:val="00464CF1"/>
    <w:rsid w:val="004652E7"/>
    <w:rsid w:val="00466000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1A4C"/>
    <w:rsid w:val="00492831"/>
    <w:rsid w:val="004930A4"/>
    <w:rsid w:val="00496086"/>
    <w:rsid w:val="00496EF3"/>
    <w:rsid w:val="004A028E"/>
    <w:rsid w:val="004A2259"/>
    <w:rsid w:val="004A24BF"/>
    <w:rsid w:val="004A4827"/>
    <w:rsid w:val="004A56A8"/>
    <w:rsid w:val="004A7377"/>
    <w:rsid w:val="004B282C"/>
    <w:rsid w:val="004B2988"/>
    <w:rsid w:val="004B2BBF"/>
    <w:rsid w:val="004B54B4"/>
    <w:rsid w:val="004B744D"/>
    <w:rsid w:val="004B789D"/>
    <w:rsid w:val="004B7BE8"/>
    <w:rsid w:val="004C08A1"/>
    <w:rsid w:val="004C0EBD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08DB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4090"/>
    <w:rsid w:val="004E5492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65C1"/>
    <w:rsid w:val="00507950"/>
    <w:rsid w:val="00513744"/>
    <w:rsid w:val="005139FD"/>
    <w:rsid w:val="005140FE"/>
    <w:rsid w:val="005153C3"/>
    <w:rsid w:val="00515857"/>
    <w:rsid w:val="00516773"/>
    <w:rsid w:val="00523F49"/>
    <w:rsid w:val="005241C1"/>
    <w:rsid w:val="00524A22"/>
    <w:rsid w:val="0052732C"/>
    <w:rsid w:val="005273EF"/>
    <w:rsid w:val="00530125"/>
    <w:rsid w:val="005310D6"/>
    <w:rsid w:val="00532D95"/>
    <w:rsid w:val="005341C2"/>
    <w:rsid w:val="005343E5"/>
    <w:rsid w:val="00534C74"/>
    <w:rsid w:val="00535D70"/>
    <w:rsid w:val="0053645D"/>
    <w:rsid w:val="0053740E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4543"/>
    <w:rsid w:val="005762A1"/>
    <w:rsid w:val="00577572"/>
    <w:rsid w:val="005800DB"/>
    <w:rsid w:val="005810F8"/>
    <w:rsid w:val="0058229D"/>
    <w:rsid w:val="005825E3"/>
    <w:rsid w:val="00583042"/>
    <w:rsid w:val="0058662C"/>
    <w:rsid w:val="00586D54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A03BA"/>
    <w:rsid w:val="005A3646"/>
    <w:rsid w:val="005A3C55"/>
    <w:rsid w:val="005A52D8"/>
    <w:rsid w:val="005A5366"/>
    <w:rsid w:val="005A56A7"/>
    <w:rsid w:val="005A5EE6"/>
    <w:rsid w:val="005A6B59"/>
    <w:rsid w:val="005B0B64"/>
    <w:rsid w:val="005B1A64"/>
    <w:rsid w:val="005B1CE5"/>
    <w:rsid w:val="005B36E2"/>
    <w:rsid w:val="005B56B7"/>
    <w:rsid w:val="005B5AF4"/>
    <w:rsid w:val="005B6775"/>
    <w:rsid w:val="005C1D94"/>
    <w:rsid w:val="005C284E"/>
    <w:rsid w:val="005C385B"/>
    <w:rsid w:val="005C3A96"/>
    <w:rsid w:val="005C4C16"/>
    <w:rsid w:val="005C58A5"/>
    <w:rsid w:val="005C5BA4"/>
    <w:rsid w:val="005C7235"/>
    <w:rsid w:val="005D1674"/>
    <w:rsid w:val="005D2B0A"/>
    <w:rsid w:val="005D4365"/>
    <w:rsid w:val="005D4404"/>
    <w:rsid w:val="005D48ED"/>
    <w:rsid w:val="005D5161"/>
    <w:rsid w:val="005D57B1"/>
    <w:rsid w:val="005D64BB"/>
    <w:rsid w:val="005D7CB8"/>
    <w:rsid w:val="005D7FCC"/>
    <w:rsid w:val="005E1C81"/>
    <w:rsid w:val="005E20FF"/>
    <w:rsid w:val="005E23FC"/>
    <w:rsid w:val="005E6374"/>
    <w:rsid w:val="005E684E"/>
    <w:rsid w:val="005E7DEF"/>
    <w:rsid w:val="005F149E"/>
    <w:rsid w:val="005F14C0"/>
    <w:rsid w:val="005F14C1"/>
    <w:rsid w:val="005F1ED8"/>
    <w:rsid w:val="005F271D"/>
    <w:rsid w:val="005F2FA9"/>
    <w:rsid w:val="005F6ECD"/>
    <w:rsid w:val="005F7A0A"/>
    <w:rsid w:val="00600B0D"/>
    <w:rsid w:val="00600BFA"/>
    <w:rsid w:val="00600F18"/>
    <w:rsid w:val="006024DC"/>
    <w:rsid w:val="00602E47"/>
    <w:rsid w:val="00603C05"/>
    <w:rsid w:val="006043D9"/>
    <w:rsid w:val="00604B3C"/>
    <w:rsid w:val="00604CD2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4411"/>
    <w:rsid w:val="0065673F"/>
    <w:rsid w:val="00656973"/>
    <w:rsid w:val="006579FA"/>
    <w:rsid w:val="00660739"/>
    <w:rsid w:val="00660CBE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653"/>
    <w:rsid w:val="00677564"/>
    <w:rsid w:val="00682077"/>
    <w:rsid w:val="00686C56"/>
    <w:rsid w:val="00687465"/>
    <w:rsid w:val="00687E83"/>
    <w:rsid w:val="0069225A"/>
    <w:rsid w:val="00693498"/>
    <w:rsid w:val="00693CF2"/>
    <w:rsid w:val="00694409"/>
    <w:rsid w:val="00694E3A"/>
    <w:rsid w:val="00694FBC"/>
    <w:rsid w:val="00696100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A7F02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649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2868"/>
    <w:rsid w:val="006E3C35"/>
    <w:rsid w:val="006E6E85"/>
    <w:rsid w:val="006E792C"/>
    <w:rsid w:val="006E7D70"/>
    <w:rsid w:val="006F01A7"/>
    <w:rsid w:val="006F04A7"/>
    <w:rsid w:val="006F172F"/>
    <w:rsid w:val="006F2908"/>
    <w:rsid w:val="006F31C2"/>
    <w:rsid w:val="006F3494"/>
    <w:rsid w:val="006F3566"/>
    <w:rsid w:val="006F5CAD"/>
    <w:rsid w:val="0070070B"/>
    <w:rsid w:val="00700855"/>
    <w:rsid w:val="00700E4A"/>
    <w:rsid w:val="0070180B"/>
    <w:rsid w:val="00701FC8"/>
    <w:rsid w:val="007026F1"/>
    <w:rsid w:val="00703685"/>
    <w:rsid w:val="0070518F"/>
    <w:rsid w:val="00705672"/>
    <w:rsid w:val="00705A8A"/>
    <w:rsid w:val="007063C8"/>
    <w:rsid w:val="00707456"/>
    <w:rsid w:val="00707D77"/>
    <w:rsid w:val="00711110"/>
    <w:rsid w:val="00712580"/>
    <w:rsid w:val="007138BE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264AB"/>
    <w:rsid w:val="00730A44"/>
    <w:rsid w:val="00733123"/>
    <w:rsid w:val="007359CF"/>
    <w:rsid w:val="00735F5B"/>
    <w:rsid w:val="00735FC2"/>
    <w:rsid w:val="00736FFE"/>
    <w:rsid w:val="0074062A"/>
    <w:rsid w:val="0074133C"/>
    <w:rsid w:val="00741E4F"/>
    <w:rsid w:val="007424E3"/>
    <w:rsid w:val="00742E03"/>
    <w:rsid w:val="00744618"/>
    <w:rsid w:val="00745BD1"/>
    <w:rsid w:val="00752443"/>
    <w:rsid w:val="0075247E"/>
    <w:rsid w:val="00752A91"/>
    <w:rsid w:val="00752E5F"/>
    <w:rsid w:val="00752FF2"/>
    <w:rsid w:val="0075478A"/>
    <w:rsid w:val="00754DB2"/>
    <w:rsid w:val="00755E09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104F"/>
    <w:rsid w:val="0077230C"/>
    <w:rsid w:val="00773140"/>
    <w:rsid w:val="00774BD0"/>
    <w:rsid w:val="007756B4"/>
    <w:rsid w:val="007809E4"/>
    <w:rsid w:val="00781A32"/>
    <w:rsid w:val="00781BA9"/>
    <w:rsid w:val="00782481"/>
    <w:rsid w:val="007833F0"/>
    <w:rsid w:val="00785FBF"/>
    <w:rsid w:val="0078708C"/>
    <w:rsid w:val="00787DE7"/>
    <w:rsid w:val="00790964"/>
    <w:rsid w:val="00791D1B"/>
    <w:rsid w:val="00792729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3763"/>
    <w:rsid w:val="007B38A0"/>
    <w:rsid w:val="007B3DA5"/>
    <w:rsid w:val="007B45F6"/>
    <w:rsid w:val="007B4834"/>
    <w:rsid w:val="007B4CA5"/>
    <w:rsid w:val="007B53A2"/>
    <w:rsid w:val="007B69A1"/>
    <w:rsid w:val="007B6EA6"/>
    <w:rsid w:val="007C0BBF"/>
    <w:rsid w:val="007C0D25"/>
    <w:rsid w:val="007C10B6"/>
    <w:rsid w:val="007C1758"/>
    <w:rsid w:val="007C1E77"/>
    <w:rsid w:val="007C370E"/>
    <w:rsid w:val="007C71FC"/>
    <w:rsid w:val="007C7CB6"/>
    <w:rsid w:val="007D108D"/>
    <w:rsid w:val="007D1C1A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428"/>
    <w:rsid w:val="007F3662"/>
    <w:rsid w:val="007F5A23"/>
    <w:rsid w:val="007F60A0"/>
    <w:rsid w:val="007F70A8"/>
    <w:rsid w:val="007F7A6D"/>
    <w:rsid w:val="007F7B19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03ED"/>
    <w:rsid w:val="008319A0"/>
    <w:rsid w:val="00832E37"/>
    <w:rsid w:val="0083359B"/>
    <w:rsid w:val="00833B06"/>
    <w:rsid w:val="008351A1"/>
    <w:rsid w:val="008358B1"/>
    <w:rsid w:val="00835EBE"/>
    <w:rsid w:val="00836C16"/>
    <w:rsid w:val="00837A24"/>
    <w:rsid w:val="00837AE0"/>
    <w:rsid w:val="00837AE7"/>
    <w:rsid w:val="00841407"/>
    <w:rsid w:val="00841C44"/>
    <w:rsid w:val="00841C59"/>
    <w:rsid w:val="00842AD8"/>
    <w:rsid w:val="00845C14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3C0E"/>
    <w:rsid w:val="008641D5"/>
    <w:rsid w:val="008641F4"/>
    <w:rsid w:val="0086790A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80B53"/>
    <w:rsid w:val="00884B65"/>
    <w:rsid w:val="00884C4A"/>
    <w:rsid w:val="00885285"/>
    <w:rsid w:val="00885884"/>
    <w:rsid w:val="00885D4B"/>
    <w:rsid w:val="008871F4"/>
    <w:rsid w:val="00887BDD"/>
    <w:rsid w:val="00891AB0"/>
    <w:rsid w:val="00891B4F"/>
    <w:rsid w:val="00892695"/>
    <w:rsid w:val="00892BE6"/>
    <w:rsid w:val="008949EC"/>
    <w:rsid w:val="008957E7"/>
    <w:rsid w:val="00896254"/>
    <w:rsid w:val="0089697B"/>
    <w:rsid w:val="00897901"/>
    <w:rsid w:val="008A06F5"/>
    <w:rsid w:val="008A1C69"/>
    <w:rsid w:val="008A2342"/>
    <w:rsid w:val="008A4905"/>
    <w:rsid w:val="008A6337"/>
    <w:rsid w:val="008B0273"/>
    <w:rsid w:val="008B08B1"/>
    <w:rsid w:val="008B243E"/>
    <w:rsid w:val="008B5031"/>
    <w:rsid w:val="008B69A6"/>
    <w:rsid w:val="008B7D32"/>
    <w:rsid w:val="008C3067"/>
    <w:rsid w:val="008C4FAF"/>
    <w:rsid w:val="008C6904"/>
    <w:rsid w:val="008D141E"/>
    <w:rsid w:val="008D171C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E7B71"/>
    <w:rsid w:val="008F06B2"/>
    <w:rsid w:val="008F0C35"/>
    <w:rsid w:val="008F0EBB"/>
    <w:rsid w:val="008F12E0"/>
    <w:rsid w:val="008F2C98"/>
    <w:rsid w:val="008F321A"/>
    <w:rsid w:val="008F33AA"/>
    <w:rsid w:val="008F4014"/>
    <w:rsid w:val="008F4281"/>
    <w:rsid w:val="008F5F73"/>
    <w:rsid w:val="008F6E07"/>
    <w:rsid w:val="008F7849"/>
    <w:rsid w:val="008F7E51"/>
    <w:rsid w:val="0090269C"/>
    <w:rsid w:val="00902DCF"/>
    <w:rsid w:val="0090312E"/>
    <w:rsid w:val="00903414"/>
    <w:rsid w:val="00903C71"/>
    <w:rsid w:val="00913E50"/>
    <w:rsid w:val="009156C4"/>
    <w:rsid w:val="0091703F"/>
    <w:rsid w:val="00921942"/>
    <w:rsid w:val="00922C74"/>
    <w:rsid w:val="00923AAD"/>
    <w:rsid w:val="00924675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3E8C"/>
    <w:rsid w:val="00944124"/>
    <w:rsid w:val="00944C56"/>
    <w:rsid w:val="00946EC0"/>
    <w:rsid w:val="00947736"/>
    <w:rsid w:val="0094790B"/>
    <w:rsid w:val="0095140B"/>
    <w:rsid w:val="009542CF"/>
    <w:rsid w:val="009542E4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0B24"/>
    <w:rsid w:val="00983151"/>
    <w:rsid w:val="009846C2"/>
    <w:rsid w:val="00985FA6"/>
    <w:rsid w:val="0098653E"/>
    <w:rsid w:val="00986CC2"/>
    <w:rsid w:val="00987501"/>
    <w:rsid w:val="00987650"/>
    <w:rsid w:val="0099280C"/>
    <w:rsid w:val="00992CD6"/>
    <w:rsid w:val="00992EFC"/>
    <w:rsid w:val="009930ED"/>
    <w:rsid w:val="00993491"/>
    <w:rsid w:val="00993BDC"/>
    <w:rsid w:val="009951DB"/>
    <w:rsid w:val="00995205"/>
    <w:rsid w:val="009953F6"/>
    <w:rsid w:val="0099598E"/>
    <w:rsid w:val="00995D6E"/>
    <w:rsid w:val="009A0C03"/>
    <w:rsid w:val="009A43F8"/>
    <w:rsid w:val="009A453F"/>
    <w:rsid w:val="009B1AE4"/>
    <w:rsid w:val="009B1B3C"/>
    <w:rsid w:val="009B38D0"/>
    <w:rsid w:val="009B530C"/>
    <w:rsid w:val="009B5B82"/>
    <w:rsid w:val="009C4240"/>
    <w:rsid w:val="009C4260"/>
    <w:rsid w:val="009C441D"/>
    <w:rsid w:val="009C4DDD"/>
    <w:rsid w:val="009C70F7"/>
    <w:rsid w:val="009D1DD4"/>
    <w:rsid w:val="009D28CE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0499"/>
    <w:rsid w:val="00A0265A"/>
    <w:rsid w:val="00A038B5"/>
    <w:rsid w:val="00A04D77"/>
    <w:rsid w:val="00A05FDD"/>
    <w:rsid w:val="00A12C81"/>
    <w:rsid w:val="00A12ED1"/>
    <w:rsid w:val="00A1574D"/>
    <w:rsid w:val="00A16560"/>
    <w:rsid w:val="00A1685B"/>
    <w:rsid w:val="00A17630"/>
    <w:rsid w:val="00A2095D"/>
    <w:rsid w:val="00A21A15"/>
    <w:rsid w:val="00A237CF"/>
    <w:rsid w:val="00A23ACF"/>
    <w:rsid w:val="00A24034"/>
    <w:rsid w:val="00A24827"/>
    <w:rsid w:val="00A2618B"/>
    <w:rsid w:val="00A27F60"/>
    <w:rsid w:val="00A313DB"/>
    <w:rsid w:val="00A3213D"/>
    <w:rsid w:val="00A32D46"/>
    <w:rsid w:val="00A3381F"/>
    <w:rsid w:val="00A33AF2"/>
    <w:rsid w:val="00A3517A"/>
    <w:rsid w:val="00A35454"/>
    <w:rsid w:val="00A35B75"/>
    <w:rsid w:val="00A40490"/>
    <w:rsid w:val="00A40B51"/>
    <w:rsid w:val="00A41A42"/>
    <w:rsid w:val="00A41BC4"/>
    <w:rsid w:val="00A423E0"/>
    <w:rsid w:val="00A430BC"/>
    <w:rsid w:val="00A4410D"/>
    <w:rsid w:val="00A507EE"/>
    <w:rsid w:val="00A52126"/>
    <w:rsid w:val="00A52B00"/>
    <w:rsid w:val="00A54934"/>
    <w:rsid w:val="00A55816"/>
    <w:rsid w:val="00A55AD8"/>
    <w:rsid w:val="00A56F92"/>
    <w:rsid w:val="00A56FD3"/>
    <w:rsid w:val="00A57A48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47E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2347"/>
    <w:rsid w:val="00AA2399"/>
    <w:rsid w:val="00AA3D6A"/>
    <w:rsid w:val="00AA45F1"/>
    <w:rsid w:val="00AB1381"/>
    <w:rsid w:val="00AB2847"/>
    <w:rsid w:val="00AB333D"/>
    <w:rsid w:val="00AB7564"/>
    <w:rsid w:val="00AB7D3A"/>
    <w:rsid w:val="00AB7F30"/>
    <w:rsid w:val="00AC0903"/>
    <w:rsid w:val="00AC19E5"/>
    <w:rsid w:val="00AC2D68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10A1"/>
    <w:rsid w:val="00AE2C45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5610"/>
    <w:rsid w:val="00AF61C9"/>
    <w:rsid w:val="00AF6C20"/>
    <w:rsid w:val="00AF7A0D"/>
    <w:rsid w:val="00B0058C"/>
    <w:rsid w:val="00B00789"/>
    <w:rsid w:val="00B01661"/>
    <w:rsid w:val="00B031DB"/>
    <w:rsid w:val="00B076C3"/>
    <w:rsid w:val="00B0787B"/>
    <w:rsid w:val="00B10DC2"/>
    <w:rsid w:val="00B11332"/>
    <w:rsid w:val="00B11897"/>
    <w:rsid w:val="00B118D5"/>
    <w:rsid w:val="00B11D70"/>
    <w:rsid w:val="00B15244"/>
    <w:rsid w:val="00B16645"/>
    <w:rsid w:val="00B16660"/>
    <w:rsid w:val="00B16D88"/>
    <w:rsid w:val="00B172FD"/>
    <w:rsid w:val="00B219F6"/>
    <w:rsid w:val="00B21CEF"/>
    <w:rsid w:val="00B2443E"/>
    <w:rsid w:val="00B248CA"/>
    <w:rsid w:val="00B24AFF"/>
    <w:rsid w:val="00B30962"/>
    <w:rsid w:val="00B30A0C"/>
    <w:rsid w:val="00B316BF"/>
    <w:rsid w:val="00B33242"/>
    <w:rsid w:val="00B3385F"/>
    <w:rsid w:val="00B348CC"/>
    <w:rsid w:val="00B34B4D"/>
    <w:rsid w:val="00B3764A"/>
    <w:rsid w:val="00B40FBA"/>
    <w:rsid w:val="00B43AD3"/>
    <w:rsid w:val="00B43FFC"/>
    <w:rsid w:val="00B5113F"/>
    <w:rsid w:val="00B515C4"/>
    <w:rsid w:val="00B515F6"/>
    <w:rsid w:val="00B5168E"/>
    <w:rsid w:val="00B539F0"/>
    <w:rsid w:val="00B54C9B"/>
    <w:rsid w:val="00B550DA"/>
    <w:rsid w:val="00B56B7E"/>
    <w:rsid w:val="00B573A2"/>
    <w:rsid w:val="00B57624"/>
    <w:rsid w:val="00B612FB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7BD"/>
    <w:rsid w:val="00B838DC"/>
    <w:rsid w:val="00B84426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5642"/>
    <w:rsid w:val="00B978FA"/>
    <w:rsid w:val="00BA01E5"/>
    <w:rsid w:val="00BA0C02"/>
    <w:rsid w:val="00BA1381"/>
    <w:rsid w:val="00BA204D"/>
    <w:rsid w:val="00BA2E65"/>
    <w:rsid w:val="00BA5B67"/>
    <w:rsid w:val="00BA5CB3"/>
    <w:rsid w:val="00BA64BE"/>
    <w:rsid w:val="00BA7979"/>
    <w:rsid w:val="00BB00A2"/>
    <w:rsid w:val="00BB026B"/>
    <w:rsid w:val="00BB2DDA"/>
    <w:rsid w:val="00BB3CA3"/>
    <w:rsid w:val="00BB6186"/>
    <w:rsid w:val="00BC0446"/>
    <w:rsid w:val="00BC0BC5"/>
    <w:rsid w:val="00BC19D9"/>
    <w:rsid w:val="00BC1B4F"/>
    <w:rsid w:val="00BC24B4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6D8F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E5014"/>
    <w:rsid w:val="00BF0660"/>
    <w:rsid w:val="00BF112C"/>
    <w:rsid w:val="00BF16B7"/>
    <w:rsid w:val="00BF218D"/>
    <w:rsid w:val="00BF21F6"/>
    <w:rsid w:val="00BF24A5"/>
    <w:rsid w:val="00BF308D"/>
    <w:rsid w:val="00BF362C"/>
    <w:rsid w:val="00BF44CF"/>
    <w:rsid w:val="00BF5E85"/>
    <w:rsid w:val="00C01B66"/>
    <w:rsid w:val="00C02C24"/>
    <w:rsid w:val="00C02D60"/>
    <w:rsid w:val="00C06717"/>
    <w:rsid w:val="00C12555"/>
    <w:rsid w:val="00C15055"/>
    <w:rsid w:val="00C16BA9"/>
    <w:rsid w:val="00C16C40"/>
    <w:rsid w:val="00C229F2"/>
    <w:rsid w:val="00C24208"/>
    <w:rsid w:val="00C2454F"/>
    <w:rsid w:val="00C260DB"/>
    <w:rsid w:val="00C3041F"/>
    <w:rsid w:val="00C3154D"/>
    <w:rsid w:val="00C372D1"/>
    <w:rsid w:val="00C37F4E"/>
    <w:rsid w:val="00C400EF"/>
    <w:rsid w:val="00C43315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387"/>
    <w:rsid w:val="00C80DF7"/>
    <w:rsid w:val="00C81B62"/>
    <w:rsid w:val="00C825AE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2AAB"/>
    <w:rsid w:val="00C93D35"/>
    <w:rsid w:val="00C94D6D"/>
    <w:rsid w:val="00C97C73"/>
    <w:rsid w:val="00C97EB0"/>
    <w:rsid w:val="00CA03FE"/>
    <w:rsid w:val="00CA094A"/>
    <w:rsid w:val="00CA0ED9"/>
    <w:rsid w:val="00CA0EF7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476C"/>
    <w:rsid w:val="00CC52A6"/>
    <w:rsid w:val="00CC5B48"/>
    <w:rsid w:val="00CC6A15"/>
    <w:rsid w:val="00CD28B9"/>
    <w:rsid w:val="00CD5B8A"/>
    <w:rsid w:val="00CD5E58"/>
    <w:rsid w:val="00CD7610"/>
    <w:rsid w:val="00CE0AEB"/>
    <w:rsid w:val="00CE2E84"/>
    <w:rsid w:val="00CE4191"/>
    <w:rsid w:val="00CE71B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140C"/>
    <w:rsid w:val="00D0264D"/>
    <w:rsid w:val="00D02FB9"/>
    <w:rsid w:val="00D03F6F"/>
    <w:rsid w:val="00D054D2"/>
    <w:rsid w:val="00D06254"/>
    <w:rsid w:val="00D11951"/>
    <w:rsid w:val="00D12FE3"/>
    <w:rsid w:val="00D13A87"/>
    <w:rsid w:val="00D14B73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24A8"/>
    <w:rsid w:val="00D33AF5"/>
    <w:rsid w:val="00D36463"/>
    <w:rsid w:val="00D414FB"/>
    <w:rsid w:val="00D41B17"/>
    <w:rsid w:val="00D4245C"/>
    <w:rsid w:val="00D42675"/>
    <w:rsid w:val="00D44978"/>
    <w:rsid w:val="00D44F7C"/>
    <w:rsid w:val="00D46268"/>
    <w:rsid w:val="00D4667E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5979"/>
    <w:rsid w:val="00D65CB4"/>
    <w:rsid w:val="00D66CB7"/>
    <w:rsid w:val="00D71D80"/>
    <w:rsid w:val="00D74684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70B8"/>
    <w:rsid w:val="00D9012F"/>
    <w:rsid w:val="00D95060"/>
    <w:rsid w:val="00D9580A"/>
    <w:rsid w:val="00D95CF7"/>
    <w:rsid w:val="00D96222"/>
    <w:rsid w:val="00DA0C2B"/>
    <w:rsid w:val="00DA3AAD"/>
    <w:rsid w:val="00DA4BB9"/>
    <w:rsid w:val="00DA6EF1"/>
    <w:rsid w:val="00DA7364"/>
    <w:rsid w:val="00DA78EE"/>
    <w:rsid w:val="00DA7FB7"/>
    <w:rsid w:val="00DB07E1"/>
    <w:rsid w:val="00DB1BFF"/>
    <w:rsid w:val="00DB32BA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5D36"/>
    <w:rsid w:val="00DC693A"/>
    <w:rsid w:val="00DC6FE7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1A4D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0409"/>
    <w:rsid w:val="00E01C43"/>
    <w:rsid w:val="00E01DCD"/>
    <w:rsid w:val="00E02D09"/>
    <w:rsid w:val="00E052BD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9CD"/>
    <w:rsid w:val="00E26BD6"/>
    <w:rsid w:val="00E27CAE"/>
    <w:rsid w:val="00E315D5"/>
    <w:rsid w:val="00E34103"/>
    <w:rsid w:val="00E34AF5"/>
    <w:rsid w:val="00E34D4D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1FA8"/>
    <w:rsid w:val="00E85104"/>
    <w:rsid w:val="00E8563B"/>
    <w:rsid w:val="00E87BEC"/>
    <w:rsid w:val="00E9008D"/>
    <w:rsid w:val="00E90405"/>
    <w:rsid w:val="00E90795"/>
    <w:rsid w:val="00E91963"/>
    <w:rsid w:val="00E91966"/>
    <w:rsid w:val="00E91A09"/>
    <w:rsid w:val="00E93536"/>
    <w:rsid w:val="00E97F50"/>
    <w:rsid w:val="00EA044D"/>
    <w:rsid w:val="00EA06AF"/>
    <w:rsid w:val="00EA30C1"/>
    <w:rsid w:val="00EA39AD"/>
    <w:rsid w:val="00EA693F"/>
    <w:rsid w:val="00EA6A61"/>
    <w:rsid w:val="00EA6E9E"/>
    <w:rsid w:val="00EA71AE"/>
    <w:rsid w:val="00EB0B16"/>
    <w:rsid w:val="00EB137F"/>
    <w:rsid w:val="00EB1552"/>
    <w:rsid w:val="00EB4384"/>
    <w:rsid w:val="00EB5B30"/>
    <w:rsid w:val="00EB7A5A"/>
    <w:rsid w:val="00EC0C54"/>
    <w:rsid w:val="00EC4312"/>
    <w:rsid w:val="00EC4F3A"/>
    <w:rsid w:val="00EC5CE7"/>
    <w:rsid w:val="00EC75D1"/>
    <w:rsid w:val="00EC7E87"/>
    <w:rsid w:val="00ED02A3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6B31"/>
    <w:rsid w:val="00EF2598"/>
    <w:rsid w:val="00EF7F39"/>
    <w:rsid w:val="00F003B9"/>
    <w:rsid w:val="00F008D7"/>
    <w:rsid w:val="00F01184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2EFA"/>
    <w:rsid w:val="00F24419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3746D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722C"/>
    <w:rsid w:val="00F47D2D"/>
    <w:rsid w:val="00F5108E"/>
    <w:rsid w:val="00F5130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429E"/>
    <w:rsid w:val="00F754C8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4AD7"/>
    <w:rsid w:val="00F96354"/>
    <w:rsid w:val="00FA0226"/>
    <w:rsid w:val="00FA0463"/>
    <w:rsid w:val="00FA0BB8"/>
    <w:rsid w:val="00FA0CBB"/>
    <w:rsid w:val="00FA135B"/>
    <w:rsid w:val="00FA1DDC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171"/>
    <w:rsid w:val="00FB5264"/>
    <w:rsid w:val="00FB541C"/>
    <w:rsid w:val="00FB69B9"/>
    <w:rsid w:val="00FC0814"/>
    <w:rsid w:val="00FC0987"/>
    <w:rsid w:val="00FC3A55"/>
    <w:rsid w:val="00FC3DE0"/>
    <w:rsid w:val="00FC5212"/>
    <w:rsid w:val="00FC521B"/>
    <w:rsid w:val="00FC73E8"/>
    <w:rsid w:val="00FC744A"/>
    <w:rsid w:val="00FD0494"/>
    <w:rsid w:val="00FD04EF"/>
    <w:rsid w:val="00FD1387"/>
    <w:rsid w:val="00FD2855"/>
    <w:rsid w:val="00FD2AE5"/>
    <w:rsid w:val="00FD3927"/>
    <w:rsid w:val="00FD454B"/>
    <w:rsid w:val="00FD4F56"/>
    <w:rsid w:val="00FD5DC2"/>
    <w:rsid w:val="00FD5ED6"/>
    <w:rsid w:val="00FD70EB"/>
    <w:rsid w:val="00FE1A04"/>
    <w:rsid w:val="00FE2277"/>
    <w:rsid w:val="00FE3DC9"/>
    <w:rsid w:val="00FE4DC6"/>
    <w:rsid w:val="00FE4E28"/>
    <w:rsid w:val="00FE71E1"/>
    <w:rsid w:val="00FF6700"/>
    <w:rsid w:val="00FF70C5"/>
    <w:rsid w:val="1CFB548E"/>
    <w:rsid w:val="52E32882"/>
    <w:rsid w:val="60A82B56"/>
    <w:rsid w:val="6FD6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306A8DA"/>
  <w15:docId w15:val="{125A9D7C-F72C-4CB0-890C-965BAAB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276"/>
      </w:tabs>
      <w:spacing w:before="100" w:beforeAutospacing="1" w:after="100" w:afterAutospacing="1" w:line="360" w:lineRule="auto"/>
      <w:ind w:right="-142"/>
      <w:jc w:val="both"/>
    </w:pPr>
    <w:rPr>
      <w:rFonts w:ascii="New Baskerville" w:hAnsi="New Baskerville"/>
      <w:sz w:val="22"/>
      <w:szCs w:val="22"/>
      <w:lang w:eastAsia="en-US"/>
    </w:rPr>
  </w:style>
  <w:style w:type="paragraph" w:styleId="Ttulo1">
    <w:name w:val="heading 1"/>
    <w:basedOn w:val="EstiloDocumentoSC"/>
    <w:next w:val="Normal"/>
    <w:link w:val="Ttulo1Car"/>
    <w:uiPriority w:val="9"/>
    <w:qFormat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pPr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ocumentoSC">
    <w:name w:val="Estilo_Documento SC"/>
    <w:basedOn w:val="Estilo3"/>
    <w:link w:val="EstiloDocumentoSCCar"/>
    <w:qFormat/>
  </w:style>
  <w:style w:type="paragraph" w:customStyle="1" w:styleId="Estilo3">
    <w:name w:val="Estilo3"/>
    <w:basedOn w:val="Estilo2"/>
    <w:link w:val="Estilo3Car"/>
    <w:qFormat/>
  </w:style>
  <w:style w:type="paragraph" w:customStyle="1" w:styleId="Estilo2">
    <w:name w:val="Estilo2"/>
    <w:basedOn w:val="Estilo1"/>
    <w:link w:val="Estilo2Car"/>
    <w:qFormat/>
    <w:rPr>
      <w:sz w:val="28"/>
    </w:rPr>
  </w:style>
  <w:style w:type="paragraph" w:customStyle="1" w:styleId="Estilo1">
    <w:name w:val="Estilo1"/>
    <w:basedOn w:val="Normal"/>
    <w:link w:val="Estilo1Car"/>
    <w:qFormat/>
    <w:pPr>
      <w:spacing w:after="0" w:line="240" w:lineRule="auto"/>
    </w:pPr>
    <w:rPr>
      <w:b/>
      <w:sz w:val="36"/>
      <w:szCs w:val="3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800080" w:themeColor="followedHyperlink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DC3">
    <w:name w:val="toc 3"/>
    <w:basedOn w:val="Normal"/>
    <w:next w:val="Normal"/>
    <w:uiPriority w:val="39"/>
    <w:semiHidden/>
    <w:unhideWhenUsed/>
    <w:qFormat/>
    <w:pPr>
      <w:spacing w:after="0"/>
      <w:ind w:left="440"/>
    </w:pPr>
  </w:style>
  <w:style w:type="paragraph" w:styleId="TDC9">
    <w:name w:val="toc 9"/>
    <w:basedOn w:val="Normal"/>
    <w:next w:val="Normal"/>
    <w:uiPriority w:val="39"/>
    <w:semiHidden/>
    <w:unhideWhenUsed/>
    <w:qFormat/>
    <w:pPr>
      <w:spacing w:after="0"/>
      <w:ind w:left="1760"/>
    </w:pPr>
    <w:rPr>
      <w:sz w:val="20"/>
      <w:szCs w:val="20"/>
    </w:rPr>
  </w:style>
  <w:style w:type="paragraph" w:styleId="TDC7">
    <w:name w:val="toc 7"/>
    <w:basedOn w:val="Normal"/>
    <w:next w:val="Normal"/>
    <w:uiPriority w:val="39"/>
    <w:semiHidden/>
    <w:unhideWhenUsed/>
    <w:qFormat/>
    <w:pPr>
      <w:spacing w:after="0"/>
      <w:ind w:left="1320"/>
    </w:pPr>
    <w:rPr>
      <w:sz w:val="20"/>
      <w:szCs w:val="20"/>
    </w:rPr>
  </w:style>
  <w:style w:type="paragraph" w:styleId="TDC1">
    <w:name w:val="toc 1"/>
    <w:basedOn w:val="Normal"/>
    <w:next w:val="Normal"/>
    <w:uiPriority w:val="39"/>
    <w:unhideWhenUsed/>
    <w:qFormat/>
    <w:pPr>
      <w:spacing w:before="120" w:after="0"/>
    </w:pPr>
    <w:rPr>
      <w:b/>
      <w:sz w:val="24"/>
      <w:szCs w:val="24"/>
    </w:rPr>
  </w:style>
  <w:style w:type="paragraph" w:styleId="TDC8">
    <w:name w:val="toc 8"/>
    <w:basedOn w:val="Normal"/>
    <w:next w:val="Normal"/>
    <w:uiPriority w:val="39"/>
    <w:semiHidden/>
    <w:unhideWhenUsed/>
    <w:qFormat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uiPriority w:val="39"/>
    <w:semiHidden/>
    <w:unhideWhenUsed/>
    <w:qFormat/>
    <w:pPr>
      <w:spacing w:after="0"/>
      <w:ind w:left="220"/>
    </w:pPr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DC6">
    <w:name w:val="toc 6"/>
    <w:basedOn w:val="Normal"/>
    <w:next w:val="Normal"/>
    <w:uiPriority w:val="39"/>
    <w:semiHidden/>
    <w:unhideWhenUsed/>
    <w:qFormat/>
    <w:pPr>
      <w:spacing w:after="0"/>
      <w:ind w:left="1100"/>
    </w:pPr>
    <w:rPr>
      <w:sz w:val="20"/>
      <w:szCs w:val="20"/>
    </w:rPr>
  </w:style>
  <w:style w:type="paragraph" w:styleId="TDC5">
    <w:name w:val="toc 5"/>
    <w:basedOn w:val="Normal"/>
    <w:next w:val="Normal"/>
    <w:uiPriority w:val="39"/>
    <w:semiHidden/>
    <w:unhideWhenUsed/>
    <w:qFormat/>
    <w:pPr>
      <w:spacing w:after="0"/>
      <w:ind w:left="880"/>
    </w:pPr>
    <w:rPr>
      <w:sz w:val="20"/>
      <w:szCs w:val="20"/>
    </w:rPr>
  </w:style>
  <w:style w:type="paragraph" w:styleId="TDC4">
    <w:name w:val="toc 4"/>
    <w:basedOn w:val="Normal"/>
    <w:next w:val="Normal"/>
    <w:uiPriority w:val="39"/>
    <w:semiHidden/>
    <w:unhideWhenUsed/>
    <w:qFormat/>
    <w:pPr>
      <w:spacing w:after="0"/>
      <w:ind w:left="660"/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pPr>
      <w:tabs>
        <w:tab w:val="clear" w:pos="1276"/>
      </w:tabs>
      <w:spacing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eastAsia="gl-ES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qFormat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qFormat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qFormat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rPr>
      <w:sz w:val="16"/>
      <w:szCs w:val="16"/>
    </w:rPr>
  </w:style>
  <w:style w:type="table" w:styleId="Sombreadoclaro-nfasis1">
    <w:name w:val="Light Shading Accent 1"/>
    <w:basedOn w:val="Tabla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Estilo1Car">
    <w:name w:val="Estilo1 Car"/>
    <w:basedOn w:val="Fuentedeprrafopredeter"/>
    <w:link w:val="Estilo1"/>
    <w:qFormat/>
    <w:rPr>
      <w:b/>
      <w:sz w:val="36"/>
      <w:szCs w:val="36"/>
      <w:lang w:val="es-ES"/>
    </w:rPr>
  </w:style>
  <w:style w:type="character" w:customStyle="1" w:styleId="Estilo2Car">
    <w:name w:val="Estilo2 Car"/>
    <w:basedOn w:val="Estilo1Car"/>
    <w:link w:val="Estilo2"/>
    <w:qFormat/>
    <w:rPr>
      <w:b/>
      <w:sz w:val="28"/>
      <w:szCs w:val="36"/>
      <w:lang w:val="es-ES"/>
    </w:rPr>
  </w:style>
  <w:style w:type="character" w:customStyle="1" w:styleId="Estilo3Car">
    <w:name w:val="Estilo3 Car"/>
    <w:basedOn w:val="Estilo2Car"/>
    <w:link w:val="Estilo3"/>
    <w:qFormat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Pr>
      <w:sz w:val="24"/>
    </w:rPr>
  </w:style>
  <w:style w:type="character" w:customStyle="1" w:styleId="EstiloDocumentoSCCar">
    <w:name w:val="Estilo_Documento SC Car"/>
    <w:basedOn w:val="Estilo3Car"/>
    <w:link w:val="EstiloDocumentoSC"/>
    <w:qFormat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qFormat/>
    <w:rPr>
      <w:b/>
      <w:sz w:val="24"/>
      <w:szCs w:val="36"/>
      <w:lang w:val="es-ES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New Baskerville" w:eastAsiaTheme="majorEastAsia" w:hAnsi="New Baskerville" w:cstheme="majorBidi"/>
      <w:bCs/>
      <w:color w:val="2C1C65"/>
      <w:sz w:val="26"/>
      <w:szCs w:val="26"/>
    </w:rPr>
  </w:style>
  <w:style w:type="paragraph" w:customStyle="1" w:styleId="Description3">
    <w:name w:val="Description 3"/>
    <w:basedOn w:val="Normal"/>
    <w:qFormat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qFormat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qFormat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qFormat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qFormat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qFormat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</w:style>
  <w:style w:type="character" w:customStyle="1" w:styleId="Estilo5Car">
    <w:name w:val="Estilo5 Car"/>
    <w:basedOn w:val="PrrafodelistaCar"/>
    <w:link w:val="Estilo5"/>
    <w:qFormat/>
    <w:rPr>
      <w:rFonts w:ascii="ITC New Baskerville Std" w:hAnsi="ITC New Baskerville Std"/>
      <w:i/>
      <w:sz w:val="24"/>
      <w:lang w:val="es-ES"/>
    </w:rPr>
  </w:style>
  <w:style w:type="table" w:customStyle="1" w:styleId="Sombreadoclaro-nfasis12">
    <w:name w:val="Sombreado claro - Énfasis 12"/>
    <w:basedOn w:val="Tablanormal"/>
    <w:uiPriority w:val="60"/>
    <w:qFormat/>
    <w:rPr>
      <w:rFonts w:ascii="Calibri" w:eastAsia="Calibri" w:hAnsi="Calibri" w:cs="Times New Roman"/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qFormat/>
    <w:rPr>
      <w:rFonts w:eastAsiaTheme="minorEastAsia"/>
      <w:color w:val="365F91" w:themeColor="accent1" w:themeShade="BF"/>
      <w:lang w:val="es-ES" w:eastAsia="es-E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qFormat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table" w:customStyle="1" w:styleId="Sombreadoclaro-nfasis113">
    <w:name w:val="Sombreado claro - Énfasis 113"/>
    <w:basedOn w:val="Tablanormal"/>
    <w:uiPriority w:val="60"/>
    <w:qFormat/>
    <w:rPr>
      <w:rFonts w:eastAsiaTheme="minorEastAsia"/>
      <w:color w:val="365F91" w:themeColor="accent1" w:themeShade="BF"/>
      <w:lang w:val="es-ES" w:eastAsia="es-E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rFonts w:ascii="New Baskerville" w:hAnsi="New Baskerville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  <w:qFormat/>
  </w:style>
  <w:style w:type="paragraph" w:customStyle="1" w:styleId="Revisin1">
    <w:name w:val="Revisión1"/>
    <w:hidden/>
    <w:uiPriority w:val="99"/>
    <w:semiHidden/>
    <w:qFormat/>
    <w:rPr>
      <w:rFonts w:ascii="New Baskerville" w:hAnsi="New Baskerville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Dibujo_de_Microsoft_Visio_2003-20101.vsd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ibujo_de_Microsoft_Visio_2003-2010.vsd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F890-68AC-4556-8701-E873550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Luis Miguel Prieto Rodríguez</cp:lastModifiedBy>
  <cp:revision>34</cp:revision>
  <cp:lastPrinted>2023-07-11T10:08:00Z</cp:lastPrinted>
  <dcterms:created xsi:type="dcterms:W3CDTF">2023-05-03T11:13:00Z</dcterms:created>
  <dcterms:modified xsi:type="dcterms:W3CDTF">2024-01-31T14:33:00Z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3082-12.2.0.13215</vt:lpwstr>
  </property>
  <property fmtid="{D5CDD505-2E9C-101B-9397-08002B2CF9AE}" pid="3" name="ICV">
    <vt:lpwstr>F0344A37ECAE427B9201F0B07EBBFB21</vt:lpwstr>
  </property>
</Properties>
</file>