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0D6" w:rsidRDefault="001D10D6">
      <w:pPr>
        <w:rPr>
          <w:lang w:eastAsia="gl-ES"/>
        </w:rPr>
      </w:pPr>
    </w:p>
    <w:p w:rsidR="001D10D6" w:rsidRDefault="001D10D6">
      <w:pPr>
        <w:jc w:val="right"/>
      </w:pPr>
    </w:p>
    <w:p w:rsidR="001D10D6" w:rsidRDefault="001D10D6">
      <w:pPr>
        <w:jc w:val="right"/>
      </w:pPr>
    </w:p>
    <w:p w:rsidR="001D10D6" w:rsidRDefault="0003747A">
      <w:pPr>
        <w:rPr>
          <w:sz w:val="24"/>
          <w:szCs w:val="24"/>
        </w:rPr>
      </w:pPr>
      <w:r>
        <w:rPr>
          <w:b/>
          <w:color w:val="2C1C65"/>
          <w:sz w:val="24"/>
          <w:szCs w:val="24"/>
        </w:rPr>
        <w:t>SISTEMA DE GARANTÍA DE CALIDADE DOS CENTROS (GRAOS E MESTRADOS)</w:t>
      </w:r>
    </w:p>
    <w:p w:rsidR="001D10D6" w:rsidRDefault="001D10D6"/>
    <w:p w:rsidR="001D10D6" w:rsidRDefault="0003747A">
      <w:r>
        <w:t>PROCEDEMENTO</w:t>
      </w:r>
    </w:p>
    <w:p w:rsidR="001D10D6" w:rsidRDefault="0003747A">
      <w:pPr>
        <w:tabs>
          <w:tab w:val="clear" w:pos="1276"/>
        </w:tabs>
        <w:spacing w:line="276" w:lineRule="auto"/>
        <w:ind w:right="0"/>
        <w:jc w:val="left"/>
        <w:rPr>
          <w:b/>
          <w:color w:val="2C1C65"/>
          <w:sz w:val="48"/>
          <w:szCs w:val="48"/>
        </w:rPr>
      </w:pPr>
      <w:r>
        <w:rPr>
          <w:b/>
          <w:color w:val="2C1C65"/>
          <w:sz w:val="48"/>
          <w:szCs w:val="48"/>
        </w:rPr>
        <w:t>Xestión do Persoal docente e Investigador - PDI</w:t>
      </w:r>
    </w:p>
    <w:p w:rsidR="001D10D6" w:rsidRDefault="0003747A">
      <w:pPr>
        <w:tabs>
          <w:tab w:val="clear" w:pos="1276"/>
        </w:tabs>
        <w:spacing w:before="0" w:beforeAutospacing="0" w:after="200" w:afterAutospacing="0" w:line="276" w:lineRule="auto"/>
        <w:ind w:right="0"/>
        <w:jc w:val="left"/>
        <w:rPr>
          <w:b/>
          <w:color w:val="2C1C65"/>
          <w:sz w:val="48"/>
          <w:szCs w:val="48"/>
        </w:rPr>
      </w:pPr>
      <w:r>
        <w:t xml:space="preserve">CÓDIGO </w:t>
      </w:r>
      <w:r>
        <w:rPr>
          <w:color w:val="2C1C65"/>
          <w:sz w:val="28"/>
          <w:szCs w:val="28"/>
        </w:rPr>
        <w:t>PE-02</w:t>
      </w:r>
      <w:r>
        <w:t xml:space="preserve">    ÍNDICE </w:t>
      </w:r>
      <w:r>
        <w:rPr>
          <w:color w:val="2C1C65"/>
          <w:sz w:val="28"/>
          <w:szCs w:val="28"/>
        </w:rPr>
        <w:t>05</w:t>
      </w:r>
    </w:p>
    <w:p w:rsidR="001D10D6" w:rsidRDefault="001D10D6"/>
    <w:p w:rsidR="001D10D6" w:rsidRDefault="001D10D6"/>
    <w:tbl>
      <w:tblPr>
        <w:tblW w:w="8931" w:type="dxa"/>
        <w:tblInd w:w="71" w:type="dxa"/>
        <w:tblBorders>
          <w:top w:val="single" w:sz="12" w:space="0" w:color="000000" w:themeColor="text1"/>
          <w:insideH w:val="single" w:sz="12" w:space="0" w:color="000000" w:themeColor="text1"/>
        </w:tblBorders>
        <w:tblLayout w:type="fixed"/>
        <w:tblCellMar>
          <w:left w:w="71" w:type="dxa"/>
          <w:right w:w="71" w:type="dxa"/>
        </w:tblCellMar>
        <w:tblLook w:val="04A0" w:firstRow="1" w:lastRow="0" w:firstColumn="1" w:lastColumn="0" w:noHBand="0" w:noVBand="1"/>
      </w:tblPr>
      <w:tblGrid>
        <w:gridCol w:w="2802"/>
        <w:gridCol w:w="330"/>
        <w:gridCol w:w="2802"/>
        <w:gridCol w:w="264"/>
        <w:gridCol w:w="2733"/>
      </w:tblGrid>
      <w:tr w:rsidR="001D10D6">
        <w:trPr>
          <w:trHeight w:val="335"/>
        </w:trPr>
        <w:tc>
          <w:tcPr>
            <w:tcW w:w="2802" w:type="dxa"/>
            <w:shd w:val="clear" w:color="auto" w:fill="auto"/>
          </w:tcPr>
          <w:p w:rsidR="001D10D6" w:rsidRDefault="0003747A">
            <w:r>
              <w:t>ELABORACIÓN</w:t>
            </w:r>
          </w:p>
        </w:tc>
        <w:tc>
          <w:tcPr>
            <w:tcW w:w="330" w:type="dxa"/>
            <w:shd w:val="clear" w:color="auto" w:fill="auto"/>
          </w:tcPr>
          <w:p w:rsidR="001D10D6" w:rsidRDefault="001D10D6"/>
        </w:tc>
        <w:tc>
          <w:tcPr>
            <w:tcW w:w="2802" w:type="dxa"/>
            <w:shd w:val="clear" w:color="auto" w:fill="auto"/>
          </w:tcPr>
          <w:p w:rsidR="001D10D6" w:rsidRDefault="0003747A">
            <w:r>
              <w:t>VALIDACIÓN</w:t>
            </w:r>
          </w:p>
        </w:tc>
        <w:tc>
          <w:tcPr>
            <w:tcW w:w="264" w:type="dxa"/>
            <w:shd w:val="clear" w:color="auto" w:fill="auto"/>
          </w:tcPr>
          <w:p w:rsidR="001D10D6" w:rsidRDefault="001D10D6"/>
        </w:tc>
        <w:tc>
          <w:tcPr>
            <w:tcW w:w="2733" w:type="dxa"/>
            <w:shd w:val="clear" w:color="auto" w:fill="auto"/>
          </w:tcPr>
          <w:p w:rsidR="001D10D6" w:rsidRDefault="0003747A">
            <w:r>
              <w:t>APROBACIÓN</w:t>
            </w:r>
          </w:p>
        </w:tc>
      </w:tr>
      <w:tr w:rsidR="001D10D6">
        <w:trPr>
          <w:trHeight w:val="454"/>
        </w:trPr>
        <w:tc>
          <w:tcPr>
            <w:tcW w:w="2802" w:type="dxa"/>
            <w:shd w:val="clear" w:color="auto" w:fill="auto"/>
          </w:tcPr>
          <w:p w:rsidR="001D10D6" w:rsidRDefault="0003747A">
            <w:pPr>
              <w:jc w:val="left"/>
            </w:pPr>
            <w:r>
              <w:t>Área de Calidade</w:t>
            </w:r>
          </w:p>
          <w:p w:rsidR="001D10D6" w:rsidRDefault="001D10D6">
            <w:pPr>
              <w:jc w:val="left"/>
            </w:pPr>
          </w:p>
        </w:tc>
        <w:tc>
          <w:tcPr>
            <w:tcW w:w="330" w:type="dxa"/>
            <w:shd w:val="clear" w:color="auto" w:fill="auto"/>
          </w:tcPr>
          <w:p w:rsidR="001D10D6" w:rsidRDefault="001D10D6"/>
        </w:tc>
        <w:tc>
          <w:tcPr>
            <w:tcW w:w="2802" w:type="dxa"/>
            <w:shd w:val="clear" w:color="auto" w:fill="auto"/>
          </w:tcPr>
          <w:p w:rsidR="001D10D6" w:rsidRDefault="0003747A">
            <w:pPr>
              <w:spacing w:before="0" w:beforeAutospacing="0" w:after="0" w:afterAutospacing="0"/>
            </w:pPr>
            <w:r>
              <w:t>Comisión de Calidade</w:t>
            </w:r>
          </w:p>
          <w:p w:rsidR="001D10D6" w:rsidRDefault="001D10D6">
            <w:pPr>
              <w:spacing w:before="0" w:beforeAutospacing="0" w:after="0" w:afterAutospacing="0"/>
            </w:pPr>
          </w:p>
        </w:tc>
        <w:tc>
          <w:tcPr>
            <w:tcW w:w="264" w:type="dxa"/>
            <w:shd w:val="clear" w:color="auto" w:fill="auto"/>
          </w:tcPr>
          <w:p w:rsidR="001D10D6" w:rsidRDefault="001D10D6">
            <w:pPr>
              <w:spacing w:before="0" w:beforeAutospacing="0" w:after="0" w:afterAutospacing="0"/>
            </w:pPr>
          </w:p>
        </w:tc>
        <w:tc>
          <w:tcPr>
            <w:tcW w:w="2733" w:type="dxa"/>
            <w:shd w:val="clear" w:color="auto" w:fill="auto"/>
          </w:tcPr>
          <w:p w:rsidR="001D10D6" w:rsidRDefault="0003747A">
            <w:pPr>
              <w:spacing w:before="0" w:beforeAutospacing="0" w:after="0" w:afterAutospacing="0"/>
            </w:pPr>
            <w:r>
              <w:t>Xunta de centro</w:t>
            </w:r>
          </w:p>
        </w:tc>
      </w:tr>
      <w:tr w:rsidR="001D10D6">
        <w:trPr>
          <w:trHeight w:hRule="exact" w:val="691"/>
        </w:trPr>
        <w:tc>
          <w:tcPr>
            <w:tcW w:w="2802" w:type="dxa"/>
            <w:shd w:val="clear" w:color="auto" w:fill="auto"/>
          </w:tcPr>
          <w:p w:rsidR="001D10D6" w:rsidRDefault="0003747A">
            <w:pPr>
              <w:spacing w:before="0" w:beforeAutospacing="0" w:after="0" w:afterAutospacing="0" w:line="240" w:lineRule="auto"/>
            </w:pPr>
            <w:r>
              <w:t>Data e sinatura</w:t>
            </w:r>
          </w:p>
          <w:p w:rsidR="001D10D6" w:rsidRDefault="0003747A" w:rsidP="0003747A">
            <w:pPr>
              <w:spacing w:before="0" w:beforeAutospacing="0" w:after="0" w:afterAutospacing="0" w:line="240" w:lineRule="auto"/>
              <w:jc w:val="left"/>
            </w:pPr>
            <w:r>
              <w:t>02/10/2023</w:t>
            </w:r>
          </w:p>
        </w:tc>
        <w:tc>
          <w:tcPr>
            <w:tcW w:w="330" w:type="dxa"/>
            <w:shd w:val="clear" w:color="auto" w:fill="auto"/>
          </w:tcPr>
          <w:p w:rsidR="001D10D6" w:rsidRDefault="001D10D6"/>
        </w:tc>
        <w:tc>
          <w:tcPr>
            <w:tcW w:w="2802" w:type="dxa"/>
            <w:shd w:val="clear" w:color="auto" w:fill="auto"/>
          </w:tcPr>
          <w:p w:rsidR="001D10D6" w:rsidRDefault="0003747A">
            <w:r>
              <w:t>Data e sinatura</w:t>
            </w:r>
          </w:p>
        </w:tc>
        <w:tc>
          <w:tcPr>
            <w:tcW w:w="264" w:type="dxa"/>
            <w:shd w:val="clear" w:color="auto" w:fill="auto"/>
          </w:tcPr>
          <w:p w:rsidR="001D10D6" w:rsidRDefault="001D10D6"/>
        </w:tc>
        <w:tc>
          <w:tcPr>
            <w:tcW w:w="2733" w:type="dxa"/>
            <w:shd w:val="clear" w:color="auto" w:fill="auto"/>
          </w:tcPr>
          <w:p w:rsidR="001D10D6" w:rsidRDefault="0003747A">
            <w:r>
              <w:t xml:space="preserve">Data e sinatura </w:t>
            </w:r>
          </w:p>
          <w:p w:rsidR="001D10D6" w:rsidRDefault="001D10D6"/>
          <w:p w:rsidR="001D10D6" w:rsidRDefault="001D10D6"/>
          <w:p w:rsidR="001D10D6" w:rsidRDefault="001D10D6"/>
          <w:p w:rsidR="001D10D6" w:rsidRDefault="001D10D6"/>
          <w:p w:rsidR="001D10D6" w:rsidRDefault="001D10D6"/>
          <w:p w:rsidR="001D10D6" w:rsidRDefault="0003747A">
            <w:proofErr w:type="spellStart"/>
            <w:r>
              <w:t>fffffff</w:t>
            </w:r>
            <w:proofErr w:type="spellEnd"/>
          </w:p>
          <w:p w:rsidR="001D10D6" w:rsidRDefault="001D10D6"/>
          <w:p w:rsidR="001D10D6" w:rsidRDefault="001D10D6"/>
        </w:tc>
      </w:tr>
    </w:tbl>
    <w:p w:rsidR="001D10D6" w:rsidRDefault="001D10D6">
      <w:pPr>
        <w:sectPr w:rsidR="001D10D6">
          <w:headerReference w:type="default" r:id="rId8"/>
          <w:footerReference w:type="default" r:id="rId9"/>
          <w:pgSz w:w="11906" w:h="16838"/>
          <w:pgMar w:top="1417" w:right="1416" w:bottom="851" w:left="1560" w:header="708" w:footer="0" w:gutter="0"/>
          <w:cols w:space="708"/>
          <w:docGrid w:linePitch="360"/>
        </w:sectPr>
      </w:pPr>
    </w:p>
    <w:p w:rsidR="001D10D6" w:rsidRDefault="0003747A">
      <w:pPr>
        <w:pStyle w:val="Ttulo2"/>
        <w:rPr>
          <w:szCs w:val="28"/>
        </w:rPr>
      </w:pPr>
      <w:r>
        <w:lastRenderedPageBreak/>
        <w:t>Proceso</w:t>
      </w:r>
    </w:p>
    <w:p w:rsidR="001D10D6" w:rsidRDefault="0003747A">
      <w:r>
        <w:t>Xestión da calidade e mellora continua.</w:t>
      </w:r>
    </w:p>
    <w:p w:rsidR="001D10D6" w:rsidRDefault="001D10D6">
      <w:pPr>
        <w:rPr>
          <w:rFonts w:cs="Times New Roman"/>
        </w:rPr>
      </w:pPr>
    </w:p>
    <w:p w:rsidR="001D10D6" w:rsidRDefault="0003747A">
      <w:pPr>
        <w:pStyle w:val="Ttulo2"/>
      </w:pPr>
      <w:r>
        <w:t>Histórico de evolucións</w:t>
      </w:r>
    </w:p>
    <w:tbl>
      <w:tblPr>
        <w:tblStyle w:val="Tablaconcuadrcula"/>
        <w:tblW w:w="9513" w:type="dxa"/>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07"/>
        <w:gridCol w:w="19"/>
        <w:gridCol w:w="1459"/>
        <w:gridCol w:w="25"/>
        <w:gridCol w:w="1918"/>
        <w:gridCol w:w="5069"/>
        <w:gridCol w:w="16"/>
      </w:tblGrid>
      <w:tr w:rsidR="001D10D6">
        <w:tc>
          <w:tcPr>
            <w:tcW w:w="1007" w:type="dxa"/>
            <w:shd w:val="clear" w:color="auto" w:fill="FFFFFF" w:themeFill="background1"/>
            <w:vAlign w:val="center"/>
          </w:tcPr>
          <w:p w:rsidR="001D10D6" w:rsidRDefault="0003747A">
            <w:r>
              <w:t>ÍNDICE</w:t>
            </w:r>
          </w:p>
        </w:tc>
        <w:tc>
          <w:tcPr>
            <w:tcW w:w="1478" w:type="dxa"/>
            <w:gridSpan w:val="2"/>
            <w:shd w:val="clear" w:color="auto" w:fill="FFFFFF" w:themeFill="background1"/>
            <w:vAlign w:val="center"/>
          </w:tcPr>
          <w:p w:rsidR="001D10D6" w:rsidRDefault="0003747A">
            <w:r>
              <w:t>DATA</w:t>
            </w:r>
          </w:p>
        </w:tc>
        <w:tc>
          <w:tcPr>
            <w:tcW w:w="1943" w:type="dxa"/>
            <w:gridSpan w:val="2"/>
            <w:shd w:val="clear" w:color="auto" w:fill="FFFFFF" w:themeFill="background1"/>
            <w:vAlign w:val="center"/>
          </w:tcPr>
          <w:p w:rsidR="001D10D6" w:rsidRDefault="0003747A">
            <w:r>
              <w:t>ELABORACIÓN</w:t>
            </w:r>
          </w:p>
        </w:tc>
        <w:tc>
          <w:tcPr>
            <w:tcW w:w="5085" w:type="dxa"/>
            <w:gridSpan w:val="2"/>
            <w:shd w:val="clear" w:color="auto" w:fill="FFFFFF" w:themeFill="background1"/>
            <w:vAlign w:val="center"/>
          </w:tcPr>
          <w:p w:rsidR="001D10D6" w:rsidRDefault="0003747A">
            <w:pPr>
              <w:ind w:right="0"/>
            </w:pPr>
            <w:r>
              <w:t>MOTIVO DAS PRINCIPAIS MODIFICACIÓNS</w:t>
            </w:r>
          </w:p>
        </w:tc>
      </w:tr>
      <w:tr w:rsidR="001D10D6">
        <w:trPr>
          <w:gridAfter w:val="1"/>
          <w:wAfter w:w="16" w:type="dxa"/>
        </w:trPr>
        <w:tc>
          <w:tcPr>
            <w:tcW w:w="1026" w:type="dxa"/>
            <w:gridSpan w:val="2"/>
            <w:tcBorders>
              <w:bottom w:val="single" w:sz="4" w:space="0" w:color="auto"/>
            </w:tcBorders>
            <w:shd w:val="clear" w:color="auto" w:fill="FFFFFF" w:themeFill="background1"/>
            <w:vAlign w:val="center"/>
          </w:tcPr>
          <w:p w:rsidR="001D10D6" w:rsidRDefault="0003747A">
            <w:pPr>
              <w:rPr>
                <w:sz w:val="20"/>
                <w:szCs w:val="20"/>
              </w:rPr>
            </w:pPr>
            <w:r>
              <w:rPr>
                <w:sz w:val="20"/>
                <w:szCs w:val="20"/>
              </w:rPr>
              <w:t>00</w:t>
            </w:r>
          </w:p>
        </w:tc>
        <w:tc>
          <w:tcPr>
            <w:tcW w:w="1484" w:type="dxa"/>
            <w:gridSpan w:val="2"/>
            <w:tcBorders>
              <w:bottom w:val="single" w:sz="4" w:space="0" w:color="auto"/>
            </w:tcBorders>
            <w:shd w:val="clear" w:color="auto" w:fill="FFFFFF" w:themeFill="background1"/>
            <w:vAlign w:val="center"/>
          </w:tcPr>
          <w:p w:rsidR="001D10D6" w:rsidRDefault="0003747A">
            <w:pPr>
              <w:rPr>
                <w:sz w:val="20"/>
                <w:szCs w:val="20"/>
              </w:rPr>
            </w:pPr>
            <w:r>
              <w:rPr>
                <w:sz w:val="20"/>
                <w:szCs w:val="20"/>
              </w:rPr>
              <w:t>15/05/2008</w:t>
            </w:r>
          </w:p>
        </w:tc>
        <w:tc>
          <w:tcPr>
            <w:tcW w:w="1918" w:type="dxa"/>
            <w:tcBorders>
              <w:bottom w:val="single" w:sz="4" w:space="0" w:color="auto"/>
            </w:tcBorders>
            <w:shd w:val="clear" w:color="auto" w:fill="FFFFFF" w:themeFill="background1"/>
            <w:vAlign w:val="center"/>
          </w:tcPr>
          <w:p w:rsidR="001D10D6" w:rsidRDefault="0003747A">
            <w:pPr>
              <w:jc w:val="left"/>
              <w:rPr>
                <w:sz w:val="20"/>
                <w:szCs w:val="20"/>
              </w:rPr>
            </w:pPr>
            <w:r>
              <w:rPr>
                <w:sz w:val="20"/>
                <w:szCs w:val="20"/>
              </w:rPr>
              <w:t>Área de Calidade</w:t>
            </w:r>
          </w:p>
        </w:tc>
        <w:tc>
          <w:tcPr>
            <w:tcW w:w="5069" w:type="dxa"/>
            <w:tcBorders>
              <w:bottom w:val="single" w:sz="4" w:space="0" w:color="auto"/>
            </w:tcBorders>
            <w:shd w:val="clear" w:color="auto" w:fill="FFFFFF" w:themeFill="background1"/>
            <w:vAlign w:val="center"/>
          </w:tcPr>
          <w:p w:rsidR="001D10D6" w:rsidRDefault="0003747A">
            <w:pPr>
              <w:spacing w:line="240" w:lineRule="auto"/>
              <w:ind w:right="0"/>
              <w:rPr>
                <w:sz w:val="20"/>
                <w:szCs w:val="20"/>
              </w:rPr>
            </w:pPr>
            <w:r>
              <w:rPr>
                <w:sz w:val="20"/>
                <w:szCs w:val="20"/>
              </w:rPr>
              <w:t>Creación dos procedementos (documentación marco) PA-05 «Captación, selección e formación do PDI e PAS» e PA06  «Avaliación, recoñecemento e incentivos  do PDI e PAS»  do SGIC dos centros.</w:t>
            </w:r>
          </w:p>
        </w:tc>
      </w:tr>
      <w:tr w:rsidR="001D10D6">
        <w:trPr>
          <w:gridAfter w:val="1"/>
          <w:wAfter w:w="16" w:type="dxa"/>
        </w:trPr>
        <w:tc>
          <w:tcPr>
            <w:tcW w:w="1026" w:type="dxa"/>
            <w:gridSpan w:val="2"/>
            <w:tcBorders>
              <w:bottom w:val="single" w:sz="4" w:space="0" w:color="auto"/>
            </w:tcBorders>
            <w:shd w:val="clear" w:color="auto" w:fill="FFFFFF" w:themeFill="background1"/>
          </w:tcPr>
          <w:p w:rsidR="001D10D6" w:rsidRDefault="0003747A">
            <w:pPr>
              <w:rPr>
                <w:sz w:val="20"/>
                <w:szCs w:val="20"/>
              </w:rPr>
            </w:pPr>
            <w:r>
              <w:rPr>
                <w:sz w:val="20"/>
                <w:szCs w:val="20"/>
              </w:rPr>
              <w:t>00</w:t>
            </w:r>
          </w:p>
        </w:tc>
        <w:tc>
          <w:tcPr>
            <w:tcW w:w="1484" w:type="dxa"/>
            <w:gridSpan w:val="2"/>
            <w:tcBorders>
              <w:bottom w:val="single" w:sz="4" w:space="0" w:color="auto"/>
            </w:tcBorders>
            <w:shd w:val="clear" w:color="auto" w:fill="FFFFFF" w:themeFill="background1"/>
          </w:tcPr>
          <w:p w:rsidR="001D10D6" w:rsidRDefault="0003747A">
            <w:pPr>
              <w:rPr>
                <w:sz w:val="20"/>
                <w:szCs w:val="20"/>
              </w:rPr>
            </w:pPr>
            <w:r>
              <w:rPr>
                <w:sz w:val="20"/>
                <w:szCs w:val="20"/>
              </w:rPr>
              <w:t>01/02/2010</w:t>
            </w:r>
          </w:p>
        </w:tc>
        <w:tc>
          <w:tcPr>
            <w:tcW w:w="1918" w:type="dxa"/>
            <w:tcBorders>
              <w:bottom w:val="single" w:sz="4" w:space="0" w:color="auto"/>
            </w:tcBorders>
            <w:shd w:val="clear" w:color="auto" w:fill="FFFFFF" w:themeFill="background1"/>
          </w:tcPr>
          <w:p w:rsidR="001D10D6" w:rsidRDefault="0003747A">
            <w:pPr>
              <w:ind w:right="0"/>
              <w:jc w:val="left"/>
              <w:rPr>
                <w:sz w:val="20"/>
                <w:szCs w:val="20"/>
              </w:rPr>
            </w:pPr>
            <w:r>
              <w:rPr>
                <w:sz w:val="20"/>
                <w:szCs w:val="20"/>
              </w:rPr>
              <w:t>Unidade de Estudos e Programas</w:t>
            </w:r>
          </w:p>
        </w:tc>
        <w:tc>
          <w:tcPr>
            <w:tcW w:w="5069" w:type="dxa"/>
            <w:tcBorders>
              <w:bottom w:val="single" w:sz="4" w:space="0" w:color="auto"/>
            </w:tcBorders>
            <w:shd w:val="clear" w:color="auto" w:fill="FFFFFF" w:themeFill="background1"/>
          </w:tcPr>
          <w:p w:rsidR="001D10D6" w:rsidRDefault="0003747A">
            <w:pPr>
              <w:rPr>
                <w:sz w:val="20"/>
                <w:szCs w:val="20"/>
              </w:rPr>
            </w:pPr>
            <w:r>
              <w:rPr>
                <w:sz w:val="20"/>
                <w:szCs w:val="20"/>
              </w:rPr>
              <w:t>Creación do procedemento.</w:t>
            </w:r>
          </w:p>
        </w:tc>
      </w:tr>
      <w:tr w:rsidR="001D10D6">
        <w:trPr>
          <w:gridAfter w:val="1"/>
          <w:wAfter w:w="16" w:type="dxa"/>
        </w:trPr>
        <w:tc>
          <w:tcPr>
            <w:tcW w:w="1026" w:type="dxa"/>
            <w:gridSpan w:val="2"/>
            <w:tcBorders>
              <w:bottom w:val="single" w:sz="4" w:space="0" w:color="auto"/>
            </w:tcBorders>
            <w:shd w:val="clear" w:color="auto" w:fill="FFFFFF" w:themeFill="background1"/>
            <w:vAlign w:val="center"/>
          </w:tcPr>
          <w:p w:rsidR="001D10D6" w:rsidRDefault="0003747A">
            <w:r>
              <w:rPr>
                <w:sz w:val="20"/>
                <w:szCs w:val="20"/>
              </w:rPr>
              <w:t>01-03</w:t>
            </w:r>
          </w:p>
        </w:tc>
        <w:tc>
          <w:tcPr>
            <w:tcW w:w="1484" w:type="dxa"/>
            <w:gridSpan w:val="2"/>
            <w:tcBorders>
              <w:bottom w:val="single" w:sz="4" w:space="0" w:color="auto"/>
            </w:tcBorders>
            <w:shd w:val="clear" w:color="auto" w:fill="FFFFFF" w:themeFill="background1"/>
            <w:vAlign w:val="center"/>
          </w:tcPr>
          <w:p w:rsidR="001D10D6" w:rsidRDefault="0003747A">
            <w:r>
              <w:rPr>
                <w:sz w:val="20"/>
                <w:szCs w:val="20"/>
              </w:rPr>
              <w:t>2008-2011</w:t>
            </w:r>
          </w:p>
        </w:tc>
        <w:tc>
          <w:tcPr>
            <w:tcW w:w="1918" w:type="dxa"/>
            <w:tcBorders>
              <w:bottom w:val="single" w:sz="4" w:space="0" w:color="auto"/>
            </w:tcBorders>
            <w:shd w:val="clear" w:color="auto" w:fill="FFFFFF" w:themeFill="background1"/>
            <w:vAlign w:val="center"/>
          </w:tcPr>
          <w:p w:rsidR="001D10D6" w:rsidRDefault="0003747A">
            <w:pPr>
              <w:jc w:val="left"/>
            </w:pPr>
            <w:r>
              <w:rPr>
                <w:sz w:val="20"/>
                <w:szCs w:val="20"/>
              </w:rPr>
              <w:t>Comisións de garantía de calidade dos centros</w:t>
            </w:r>
          </w:p>
        </w:tc>
        <w:tc>
          <w:tcPr>
            <w:tcW w:w="5069" w:type="dxa"/>
            <w:tcBorders>
              <w:bottom w:val="single" w:sz="4" w:space="0" w:color="auto"/>
            </w:tcBorders>
            <w:shd w:val="clear" w:color="auto" w:fill="FFFFFF" w:themeFill="background1"/>
            <w:vAlign w:val="center"/>
          </w:tcPr>
          <w:p w:rsidR="001D10D6" w:rsidRDefault="0003747A">
            <w:pPr>
              <w:spacing w:line="240" w:lineRule="auto"/>
              <w:ind w:right="0"/>
            </w:pPr>
            <w:r>
              <w:rPr>
                <w:sz w:val="20"/>
                <w:szCs w:val="20"/>
              </w:rPr>
              <w:t>Intervalo de modificacións realizadas polos centros no ámbito dos seus SGC, baseadas fundamentalmente nas recomendacións establecidas nos informes de avaliación do deseño remitidos pola ACSUG.</w:t>
            </w:r>
          </w:p>
        </w:tc>
      </w:tr>
      <w:tr w:rsidR="001D10D6">
        <w:trPr>
          <w:gridAfter w:val="1"/>
          <w:wAfter w:w="16" w:type="dxa"/>
          <w:trHeight w:val="2556"/>
        </w:trPr>
        <w:tc>
          <w:tcPr>
            <w:tcW w:w="1026" w:type="dxa"/>
            <w:gridSpan w:val="2"/>
            <w:tcBorders>
              <w:bottom w:val="single" w:sz="4" w:space="0" w:color="auto"/>
            </w:tcBorders>
            <w:shd w:val="clear" w:color="auto" w:fill="FFFFFF" w:themeFill="background1"/>
            <w:vAlign w:val="center"/>
          </w:tcPr>
          <w:p w:rsidR="001D10D6" w:rsidRDefault="0003747A">
            <w:pPr>
              <w:rPr>
                <w:sz w:val="20"/>
                <w:szCs w:val="20"/>
              </w:rPr>
            </w:pPr>
            <w:r>
              <w:rPr>
                <w:sz w:val="20"/>
                <w:szCs w:val="20"/>
              </w:rPr>
              <w:t>04</w:t>
            </w:r>
          </w:p>
        </w:tc>
        <w:tc>
          <w:tcPr>
            <w:tcW w:w="1484" w:type="dxa"/>
            <w:gridSpan w:val="2"/>
            <w:tcBorders>
              <w:bottom w:val="single" w:sz="4" w:space="0" w:color="auto"/>
            </w:tcBorders>
            <w:shd w:val="clear" w:color="auto" w:fill="FFFFFF" w:themeFill="background1"/>
            <w:vAlign w:val="center"/>
          </w:tcPr>
          <w:p w:rsidR="001D10D6" w:rsidRDefault="0003747A">
            <w:pPr>
              <w:rPr>
                <w:sz w:val="20"/>
                <w:szCs w:val="20"/>
              </w:rPr>
            </w:pPr>
            <w:r>
              <w:rPr>
                <w:sz w:val="20"/>
                <w:szCs w:val="20"/>
              </w:rPr>
              <w:t>17/07/2017</w:t>
            </w:r>
          </w:p>
        </w:tc>
        <w:tc>
          <w:tcPr>
            <w:tcW w:w="1918" w:type="dxa"/>
            <w:tcBorders>
              <w:bottom w:val="single" w:sz="4" w:space="0" w:color="auto"/>
            </w:tcBorders>
            <w:shd w:val="clear" w:color="auto" w:fill="FFFFFF" w:themeFill="background1"/>
            <w:vAlign w:val="center"/>
          </w:tcPr>
          <w:p w:rsidR="001D10D6" w:rsidRDefault="0003747A">
            <w:pPr>
              <w:jc w:val="left"/>
              <w:rPr>
                <w:sz w:val="20"/>
                <w:szCs w:val="20"/>
              </w:rPr>
            </w:pPr>
            <w:r>
              <w:rPr>
                <w:sz w:val="20"/>
                <w:szCs w:val="20"/>
              </w:rPr>
              <w:t>Área de Calidade</w:t>
            </w:r>
          </w:p>
        </w:tc>
        <w:tc>
          <w:tcPr>
            <w:tcW w:w="5069" w:type="dxa"/>
            <w:tcBorders>
              <w:bottom w:val="single" w:sz="4" w:space="0" w:color="auto"/>
            </w:tcBorders>
            <w:shd w:val="clear" w:color="auto" w:fill="FFFFFF" w:themeFill="background1"/>
            <w:vAlign w:val="center"/>
          </w:tcPr>
          <w:p w:rsidR="001D10D6" w:rsidRDefault="0003747A">
            <w:pPr>
              <w:spacing w:before="0" w:beforeAutospacing="0" w:after="0" w:afterAutospacing="0" w:line="240" w:lineRule="auto"/>
              <w:ind w:right="0"/>
              <w:rPr>
                <w:sz w:val="20"/>
                <w:szCs w:val="20"/>
              </w:rPr>
            </w:pPr>
            <w:r>
              <w:rPr>
                <w:sz w:val="20"/>
                <w:szCs w:val="20"/>
              </w:rPr>
              <w:t>Evolución completa do procedemento: nova codificación, trama de redacción e estrutura; novos contidos.</w:t>
            </w:r>
          </w:p>
          <w:p w:rsidR="001D10D6" w:rsidRDefault="0003747A">
            <w:pPr>
              <w:spacing w:before="0" w:beforeAutospacing="0" w:after="0" w:afterAutospacing="0" w:line="240" w:lineRule="auto"/>
              <w:ind w:right="0"/>
              <w:rPr>
                <w:sz w:val="20"/>
                <w:szCs w:val="20"/>
              </w:rPr>
            </w:pPr>
            <w:r>
              <w:rPr>
                <w:sz w:val="20"/>
                <w:szCs w:val="20"/>
              </w:rPr>
              <w:t>Integra e substitúe o procedemento:</w:t>
            </w:r>
          </w:p>
          <w:p w:rsidR="001D10D6" w:rsidRDefault="0003747A">
            <w:pPr>
              <w:pStyle w:val="Prrafodelista"/>
              <w:numPr>
                <w:ilvl w:val="0"/>
                <w:numId w:val="2"/>
              </w:numPr>
              <w:spacing w:before="0" w:beforeAutospacing="0" w:after="0" w:afterAutospacing="0" w:line="240" w:lineRule="auto"/>
              <w:ind w:left="315" w:right="0" w:hanging="284"/>
              <w:rPr>
                <w:sz w:val="20"/>
                <w:szCs w:val="20"/>
              </w:rPr>
            </w:pPr>
            <w:r>
              <w:rPr>
                <w:sz w:val="20"/>
                <w:szCs w:val="20"/>
              </w:rPr>
              <w:t>PA05 Captación, selección e formación do PDI e do PAS.</w:t>
            </w:r>
          </w:p>
          <w:p w:rsidR="001D10D6" w:rsidRDefault="0003747A">
            <w:pPr>
              <w:pStyle w:val="Prrafodelista"/>
              <w:numPr>
                <w:ilvl w:val="0"/>
                <w:numId w:val="2"/>
              </w:numPr>
              <w:spacing w:before="0" w:beforeAutospacing="0" w:after="0" w:afterAutospacing="0" w:line="240" w:lineRule="auto"/>
              <w:ind w:left="315" w:right="0" w:hanging="284"/>
              <w:rPr>
                <w:sz w:val="20"/>
                <w:szCs w:val="20"/>
              </w:rPr>
            </w:pPr>
            <w:r>
              <w:rPr>
                <w:sz w:val="20"/>
                <w:szCs w:val="20"/>
              </w:rPr>
              <w:t>PA06 Avaliación, recoñecemento e incentivos do PDI e do PAS.</w:t>
            </w:r>
          </w:p>
          <w:p w:rsidR="001D10D6" w:rsidRDefault="0003747A">
            <w:pPr>
              <w:pStyle w:val="Prrafodelista"/>
              <w:numPr>
                <w:ilvl w:val="0"/>
                <w:numId w:val="2"/>
              </w:numPr>
              <w:spacing w:before="0" w:beforeAutospacing="0" w:after="0" w:afterAutospacing="0" w:line="240" w:lineRule="auto"/>
              <w:ind w:left="315" w:right="0" w:hanging="284"/>
              <w:rPr>
                <w:sz w:val="20"/>
                <w:szCs w:val="20"/>
              </w:rPr>
            </w:pPr>
            <w:r>
              <w:rPr>
                <w:sz w:val="20"/>
                <w:szCs w:val="20"/>
              </w:rPr>
              <w:t>PE02 Política de PDI e PAS.</w:t>
            </w:r>
          </w:p>
          <w:p w:rsidR="001D10D6" w:rsidRDefault="001D10D6">
            <w:pPr>
              <w:spacing w:before="0" w:beforeAutospacing="0" w:after="0" w:afterAutospacing="0" w:line="240" w:lineRule="auto"/>
              <w:ind w:right="0"/>
              <w:rPr>
                <w:sz w:val="20"/>
                <w:szCs w:val="20"/>
              </w:rPr>
            </w:pPr>
          </w:p>
          <w:p w:rsidR="001D10D6" w:rsidRDefault="0003747A">
            <w:pPr>
              <w:spacing w:before="0" w:beforeAutospacing="0" w:after="0" w:afterAutospacing="0" w:line="240" w:lineRule="auto"/>
              <w:ind w:right="0"/>
              <w:rPr>
                <w:sz w:val="20"/>
                <w:szCs w:val="20"/>
              </w:rPr>
            </w:pPr>
            <w:r>
              <w:rPr>
                <w:sz w:val="20"/>
                <w:szCs w:val="20"/>
              </w:rPr>
              <w:t>Modificación do título e do código: pasa de PE-02 P1 « Xestión do persoal docente e investigador- PDI.</w:t>
            </w:r>
          </w:p>
        </w:tc>
      </w:tr>
      <w:tr w:rsidR="001D10D6">
        <w:trPr>
          <w:gridAfter w:val="1"/>
          <w:wAfter w:w="16" w:type="dxa"/>
        </w:trPr>
        <w:tc>
          <w:tcPr>
            <w:tcW w:w="1026" w:type="dxa"/>
            <w:gridSpan w:val="2"/>
            <w:tcBorders>
              <w:bottom w:val="single" w:sz="4" w:space="0" w:color="auto"/>
            </w:tcBorders>
            <w:shd w:val="clear" w:color="auto" w:fill="D9D9D9" w:themeFill="background1" w:themeFillShade="D9"/>
            <w:vAlign w:val="center"/>
          </w:tcPr>
          <w:p w:rsidR="001D10D6" w:rsidRDefault="0003747A">
            <w:pPr>
              <w:rPr>
                <w:sz w:val="20"/>
                <w:szCs w:val="20"/>
              </w:rPr>
            </w:pPr>
            <w:r>
              <w:rPr>
                <w:sz w:val="20"/>
                <w:szCs w:val="20"/>
              </w:rPr>
              <w:t>05</w:t>
            </w:r>
          </w:p>
        </w:tc>
        <w:tc>
          <w:tcPr>
            <w:tcW w:w="1484" w:type="dxa"/>
            <w:gridSpan w:val="2"/>
            <w:tcBorders>
              <w:bottom w:val="single" w:sz="4" w:space="0" w:color="auto"/>
            </w:tcBorders>
            <w:shd w:val="clear" w:color="auto" w:fill="D9D9D9" w:themeFill="background1" w:themeFillShade="D9"/>
            <w:vAlign w:val="center"/>
          </w:tcPr>
          <w:p w:rsidR="001D10D6" w:rsidRDefault="0003747A" w:rsidP="0003747A">
            <w:pPr>
              <w:rPr>
                <w:sz w:val="20"/>
                <w:szCs w:val="20"/>
              </w:rPr>
            </w:pPr>
            <w:r>
              <w:rPr>
                <w:sz w:val="20"/>
                <w:szCs w:val="20"/>
              </w:rPr>
              <w:t>02/10/2023</w:t>
            </w:r>
          </w:p>
        </w:tc>
        <w:tc>
          <w:tcPr>
            <w:tcW w:w="1918" w:type="dxa"/>
            <w:tcBorders>
              <w:bottom w:val="single" w:sz="4" w:space="0" w:color="auto"/>
            </w:tcBorders>
            <w:shd w:val="clear" w:color="auto" w:fill="D9D9D9" w:themeFill="background1" w:themeFillShade="D9"/>
            <w:vAlign w:val="center"/>
          </w:tcPr>
          <w:p w:rsidR="001D10D6" w:rsidRDefault="0003747A">
            <w:pPr>
              <w:jc w:val="left"/>
              <w:rPr>
                <w:sz w:val="20"/>
                <w:szCs w:val="20"/>
              </w:rPr>
            </w:pPr>
            <w:r>
              <w:rPr>
                <w:sz w:val="20"/>
                <w:szCs w:val="20"/>
              </w:rPr>
              <w:t>Área de Calidade</w:t>
            </w:r>
          </w:p>
        </w:tc>
        <w:tc>
          <w:tcPr>
            <w:tcW w:w="5069" w:type="dxa"/>
            <w:tcBorders>
              <w:bottom w:val="single" w:sz="4" w:space="0" w:color="auto"/>
            </w:tcBorders>
            <w:shd w:val="clear" w:color="auto" w:fill="D9D9D9" w:themeFill="background1" w:themeFillShade="D9"/>
            <w:vAlign w:val="center"/>
          </w:tcPr>
          <w:p w:rsidR="001D10D6" w:rsidRDefault="0003747A">
            <w:pPr>
              <w:spacing w:before="120" w:beforeAutospacing="0" w:after="120" w:afterAutospacing="0" w:line="240" w:lineRule="auto"/>
              <w:ind w:right="0"/>
              <w:rPr>
                <w:sz w:val="20"/>
                <w:szCs w:val="20"/>
              </w:rPr>
            </w:pPr>
            <w:r>
              <w:rPr>
                <w:sz w:val="20"/>
                <w:szCs w:val="20"/>
              </w:rPr>
              <w:t>Actualización do procedemento de avaliación docente (DOCENTIA) e da formación do profesorado.</w:t>
            </w:r>
          </w:p>
        </w:tc>
      </w:tr>
    </w:tbl>
    <w:p w:rsidR="001D10D6" w:rsidRDefault="0003747A">
      <w:pPr>
        <w:tabs>
          <w:tab w:val="clear" w:pos="1276"/>
        </w:tabs>
        <w:spacing w:before="0" w:beforeAutospacing="0" w:after="200" w:afterAutospacing="0" w:line="276" w:lineRule="auto"/>
        <w:ind w:right="0"/>
        <w:jc w:val="left"/>
        <w:rPr>
          <w:rFonts w:eastAsiaTheme="majorEastAsia" w:cstheme="majorBidi"/>
          <w:bCs/>
          <w:color w:val="2C1C65"/>
          <w:sz w:val="28"/>
          <w:szCs w:val="26"/>
        </w:rPr>
      </w:pPr>
      <w:r>
        <w:br w:type="page"/>
      </w:r>
    </w:p>
    <w:p w:rsidR="001D10D6" w:rsidRDefault="0003747A">
      <w:pPr>
        <w:pStyle w:val="Ttulo2"/>
      </w:pPr>
      <w:r>
        <w:lastRenderedPageBreak/>
        <w:t>Índice</w:t>
      </w:r>
    </w:p>
    <w:sdt>
      <w:sdtPr>
        <w:rPr>
          <w:color w:val="auto"/>
          <w:sz w:val="22"/>
          <w:szCs w:val="22"/>
          <w:lang w:eastAsia="en-US"/>
        </w:rPr>
        <w:id w:val="17018942"/>
        <w:docPartObj>
          <w:docPartGallery w:val="Table of Contents"/>
          <w:docPartUnique/>
        </w:docPartObj>
      </w:sdtPr>
      <w:sdtEndPr/>
      <w:sdtContent>
        <w:p w:rsidR="001D10D6" w:rsidRDefault="001D10D6">
          <w:pPr>
            <w:pStyle w:val="TtuloTDC1"/>
          </w:pPr>
        </w:p>
        <w:p w:rsidR="001D10D6" w:rsidRPr="00C06A1F" w:rsidRDefault="0003747A">
          <w:pPr>
            <w:pStyle w:val="TDC1"/>
            <w:rPr>
              <w:rFonts w:asciiTheme="minorHAnsi" w:eastAsiaTheme="minorEastAsia" w:hAnsiTheme="minorHAnsi"/>
              <w:b/>
              <w:sz w:val="22"/>
              <w:szCs w:val="22"/>
              <w:lang w:eastAsia="gl-ES"/>
            </w:rPr>
          </w:pPr>
          <w:r>
            <w:rPr>
              <w:b/>
            </w:rPr>
            <w:fldChar w:fldCharType="begin"/>
          </w:r>
          <w:r>
            <w:instrText xml:space="preserve"> TOC \o "1-1" \h \z \t "Estilo_Documento SC;1" </w:instrText>
          </w:r>
          <w:r>
            <w:rPr>
              <w:b/>
            </w:rPr>
            <w:fldChar w:fldCharType="separate"/>
          </w:r>
          <w:hyperlink w:anchor="_Toc9497076" w:history="1">
            <w:r w:rsidRPr="00C06A1F">
              <w:rPr>
                <w:rStyle w:val="Hipervnculo"/>
                <w:b/>
              </w:rPr>
              <w:t>I Obxecto</w:t>
            </w:r>
            <w:r w:rsidRPr="00C06A1F">
              <w:rPr>
                <w:rStyle w:val="Hipervnculo"/>
                <w:b/>
              </w:rPr>
              <w:tab/>
            </w:r>
            <w:r w:rsidRPr="00C06A1F">
              <w:rPr>
                <w:rStyle w:val="Hipervnculo"/>
                <w:b/>
              </w:rPr>
              <w:tab/>
            </w:r>
            <w:r w:rsidRPr="00C06A1F">
              <w:rPr>
                <w:rStyle w:val="Hipervnculo"/>
                <w:b/>
              </w:rPr>
              <w:tab/>
            </w:r>
            <w:r w:rsidRPr="00C06A1F">
              <w:rPr>
                <w:rStyle w:val="Hipervnculo"/>
                <w:b/>
              </w:rPr>
              <w:tab/>
            </w:r>
            <w:r w:rsidRPr="00C06A1F">
              <w:rPr>
                <w:rStyle w:val="Hipervnculo"/>
                <w:b/>
              </w:rPr>
              <w:tab/>
            </w:r>
            <w:r w:rsidRPr="00C06A1F">
              <w:rPr>
                <w:rStyle w:val="Hipervnculo"/>
                <w:b/>
              </w:rPr>
              <w:tab/>
            </w:r>
            <w:r w:rsidRPr="00C06A1F">
              <w:rPr>
                <w:rStyle w:val="Hipervnculo"/>
                <w:b/>
              </w:rPr>
              <w:tab/>
            </w:r>
            <w:r w:rsidRPr="00C06A1F">
              <w:rPr>
                <w:rStyle w:val="Hipervnculo"/>
                <w:b/>
              </w:rPr>
              <w:tab/>
            </w:r>
            <w:r w:rsidRPr="00C06A1F">
              <w:rPr>
                <w:rStyle w:val="Hipervnculo"/>
                <w:b/>
              </w:rPr>
              <w:tab/>
            </w:r>
            <w:r w:rsidRPr="00C06A1F">
              <w:rPr>
                <w:rStyle w:val="Hipervnculo"/>
                <w:b/>
              </w:rPr>
              <w:tab/>
            </w:r>
            <w:r w:rsidRPr="00C06A1F">
              <w:rPr>
                <w:b/>
              </w:rPr>
              <w:tab/>
            </w:r>
            <w:r w:rsidRPr="00C06A1F">
              <w:rPr>
                <w:b/>
              </w:rPr>
              <w:tab/>
            </w:r>
            <w:r w:rsidRPr="00C06A1F">
              <w:rPr>
                <w:b/>
              </w:rPr>
              <w:fldChar w:fldCharType="begin"/>
            </w:r>
            <w:r w:rsidRPr="00C06A1F">
              <w:rPr>
                <w:b/>
              </w:rPr>
              <w:instrText xml:space="preserve"> PAGEREF _Toc9497076 \h </w:instrText>
            </w:r>
            <w:r w:rsidRPr="00C06A1F">
              <w:rPr>
                <w:b/>
              </w:rPr>
            </w:r>
            <w:r w:rsidRPr="00C06A1F">
              <w:rPr>
                <w:b/>
              </w:rPr>
              <w:fldChar w:fldCharType="separate"/>
            </w:r>
            <w:r w:rsidRPr="00C06A1F">
              <w:rPr>
                <w:b/>
              </w:rPr>
              <w:t>4</w:t>
            </w:r>
            <w:r w:rsidRPr="00C06A1F">
              <w:rPr>
                <w:b/>
              </w:rPr>
              <w:fldChar w:fldCharType="end"/>
            </w:r>
          </w:hyperlink>
        </w:p>
        <w:p w:rsidR="001D10D6" w:rsidRPr="00C06A1F" w:rsidRDefault="00846952">
          <w:pPr>
            <w:pStyle w:val="TDC1"/>
            <w:rPr>
              <w:rFonts w:asciiTheme="minorHAnsi" w:eastAsiaTheme="minorEastAsia" w:hAnsiTheme="minorHAnsi"/>
              <w:b/>
              <w:sz w:val="22"/>
              <w:szCs w:val="22"/>
              <w:lang w:eastAsia="gl-ES"/>
            </w:rPr>
          </w:pPr>
          <w:hyperlink w:anchor="_Toc9497077" w:history="1">
            <w:r w:rsidR="0003747A" w:rsidRPr="00C06A1F">
              <w:rPr>
                <w:rStyle w:val="Hipervnculo"/>
                <w:b/>
              </w:rPr>
              <w:t xml:space="preserve">II Alcance </w:t>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b/>
              </w:rPr>
              <w:tab/>
            </w:r>
            <w:r w:rsidR="0003747A" w:rsidRPr="00C06A1F">
              <w:rPr>
                <w:b/>
              </w:rPr>
              <w:tab/>
            </w:r>
            <w:r w:rsidR="0003747A" w:rsidRPr="00C06A1F">
              <w:rPr>
                <w:b/>
              </w:rPr>
              <w:fldChar w:fldCharType="begin"/>
            </w:r>
            <w:r w:rsidR="0003747A" w:rsidRPr="00C06A1F">
              <w:rPr>
                <w:b/>
              </w:rPr>
              <w:instrText xml:space="preserve"> PAGEREF _Toc9497077 \h </w:instrText>
            </w:r>
            <w:r w:rsidR="0003747A" w:rsidRPr="00C06A1F">
              <w:rPr>
                <w:b/>
              </w:rPr>
            </w:r>
            <w:r w:rsidR="0003747A" w:rsidRPr="00C06A1F">
              <w:rPr>
                <w:b/>
              </w:rPr>
              <w:fldChar w:fldCharType="separate"/>
            </w:r>
            <w:r w:rsidR="0003747A" w:rsidRPr="00C06A1F">
              <w:rPr>
                <w:b/>
              </w:rPr>
              <w:t>4</w:t>
            </w:r>
            <w:r w:rsidR="0003747A" w:rsidRPr="00C06A1F">
              <w:rPr>
                <w:b/>
              </w:rPr>
              <w:fldChar w:fldCharType="end"/>
            </w:r>
          </w:hyperlink>
        </w:p>
        <w:p w:rsidR="001D10D6" w:rsidRPr="00C06A1F" w:rsidRDefault="00846952">
          <w:pPr>
            <w:pStyle w:val="TDC1"/>
            <w:rPr>
              <w:rFonts w:asciiTheme="minorHAnsi" w:eastAsiaTheme="minorEastAsia" w:hAnsiTheme="minorHAnsi"/>
              <w:b/>
              <w:sz w:val="22"/>
              <w:szCs w:val="22"/>
              <w:lang w:eastAsia="gl-ES"/>
            </w:rPr>
          </w:pPr>
          <w:hyperlink w:anchor="_Toc9497078" w:history="1">
            <w:r w:rsidR="0003747A" w:rsidRPr="00C06A1F">
              <w:rPr>
                <w:rStyle w:val="Hipervnculo"/>
                <w:b/>
              </w:rPr>
              <w:t>III Referencias</w:t>
            </w:r>
            <w:r w:rsidR="0003747A" w:rsidRPr="00C06A1F">
              <w:rPr>
                <w:b/>
              </w:rPr>
              <w:tab/>
            </w:r>
            <w:r w:rsidR="0003747A" w:rsidRPr="00C06A1F">
              <w:rPr>
                <w:b/>
              </w:rPr>
              <w:tab/>
            </w:r>
            <w:r w:rsidR="0003747A" w:rsidRPr="00C06A1F">
              <w:rPr>
                <w:b/>
              </w:rPr>
              <w:tab/>
            </w:r>
            <w:r w:rsidR="0003747A" w:rsidRPr="00C06A1F">
              <w:rPr>
                <w:b/>
              </w:rPr>
              <w:tab/>
            </w:r>
            <w:r w:rsidR="0003747A" w:rsidRPr="00C06A1F">
              <w:rPr>
                <w:b/>
              </w:rPr>
              <w:tab/>
            </w:r>
            <w:r w:rsidR="0003747A" w:rsidRPr="00C06A1F">
              <w:rPr>
                <w:b/>
              </w:rPr>
              <w:tab/>
            </w:r>
            <w:r w:rsidR="0003747A" w:rsidRPr="00C06A1F">
              <w:rPr>
                <w:b/>
              </w:rPr>
              <w:tab/>
            </w:r>
            <w:r w:rsidR="0003747A" w:rsidRPr="00C06A1F">
              <w:rPr>
                <w:b/>
              </w:rPr>
              <w:tab/>
            </w:r>
            <w:r w:rsidR="0003747A" w:rsidRPr="00C06A1F">
              <w:rPr>
                <w:b/>
              </w:rPr>
              <w:tab/>
            </w:r>
            <w:r w:rsidR="0003747A" w:rsidRPr="00C06A1F">
              <w:rPr>
                <w:b/>
              </w:rPr>
              <w:tab/>
            </w:r>
            <w:r w:rsidR="0003747A" w:rsidRPr="00C06A1F">
              <w:rPr>
                <w:b/>
              </w:rPr>
              <w:tab/>
            </w:r>
            <w:r w:rsidR="0003747A" w:rsidRPr="00C06A1F">
              <w:rPr>
                <w:b/>
              </w:rPr>
              <w:fldChar w:fldCharType="begin"/>
            </w:r>
            <w:r w:rsidR="0003747A" w:rsidRPr="00C06A1F">
              <w:rPr>
                <w:b/>
              </w:rPr>
              <w:instrText xml:space="preserve"> PAGEREF _Toc9497078 \h </w:instrText>
            </w:r>
            <w:r w:rsidR="0003747A" w:rsidRPr="00C06A1F">
              <w:rPr>
                <w:b/>
              </w:rPr>
            </w:r>
            <w:r w:rsidR="0003747A" w:rsidRPr="00C06A1F">
              <w:rPr>
                <w:b/>
              </w:rPr>
              <w:fldChar w:fldCharType="separate"/>
            </w:r>
            <w:r w:rsidR="0003747A" w:rsidRPr="00C06A1F">
              <w:rPr>
                <w:b/>
              </w:rPr>
              <w:t>4</w:t>
            </w:r>
            <w:r w:rsidR="0003747A" w:rsidRPr="00C06A1F">
              <w:rPr>
                <w:b/>
              </w:rPr>
              <w:fldChar w:fldCharType="end"/>
            </w:r>
          </w:hyperlink>
        </w:p>
        <w:p w:rsidR="001D10D6" w:rsidRPr="00C06A1F" w:rsidRDefault="00846952">
          <w:pPr>
            <w:pStyle w:val="TDC1"/>
            <w:rPr>
              <w:rFonts w:asciiTheme="minorHAnsi" w:eastAsiaTheme="minorEastAsia" w:hAnsiTheme="minorHAnsi"/>
              <w:b/>
              <w:sz w:val="22"/>
              <w:szCs w:val="22"/>
              <w:lang w:eastAsia="gl-ES"/>
            </w:rPr>
          </w:pPr>
          <w:hyperlink w:anchor="_Toc9497079" w:history="1">
            <w:r w:rsidR="0003747A" w:rsidRPr="00C06A1F">
              <w:rPr>
                <w:rStyle w:val="Hipervnculo"/>
                <w:b/>
              </w:rPr>
              <w:t>IV Desenvolvemento</w:t>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b/>
              </w:rPr>
              <w:tab/>
            </w:r>
            <w:r w:rsidR="0003747A" w:rsidRPr="00C06A1F">
              <w:rPr>
                <w:b/>
              </w:rPr>
              <w:tab/>
            </w:r>
            <w:r w:rsidR="0003747A" w:rsidRPr="00C06A1F">
              <w:rPr>
                <w:b/>
              </w:rPr>
              <w:fldChar w:fldCharType="begin"/>
            </w:r>
            <w:r w:rsidR="0003747A" w:rsidRPr="00C06A1F">
              <w:rPr>
                <w:b/>
              </w:rPr>
              <w:instrText xml:space="preserve"> PAGEREF _Toc9497079 \h </w:instrText>
            </w:r>
            <w:r w:rsidR="0003747A" w:rsidRPr="00C06A1F">
              <w:rPr>
                <w:b/>
              </w:rPr>
            </w:r>
            <w:r w:rsidR="0003747A" w:rsidRPr="00C06A1F">
              <w:rPr>
                <w:b/>
              </w:rPr>
              <w:fldChar w:fldCharType="separate"/>
            </w:r>
            <w:r w:rsidR="0003747A" w:rsidRPr="00C06A1F">
              <w:rPr>
                <w:b/>
              </w:rPr>
              <w:t>9</w:t>
            </w:r>
            <w:r w:rsidR="0003747A" w:rsidRPr="00C06A1F">
              <w:rPr>
                <w:b/>
              </w:rPr>
              <w:fldChar w:fldCharType="end"/>
            </w:r>
          </w:hyperlink>
        </w:p>
        <w:p w:rsidR="001D10D6" w:rsidRDefault="00846952">
          <w:pPr>
            <w:pStyle w:val="TDC1"/>
            <w:rPr>
              <w:rFonts w:asciiTheme="minorHAnsi" w:eastAsiaTheme="minorEastAsia" w:hAnsiTheme="minorHAnsi"/>
              <w:b/>
              <w:sz w:val="22"/>
              <w:szCs w:val="22"/>
              <w:lang w:eastAsia="gl-ES"/>
            </w:rPr>
          </w:pPr>
          <w:hyperlink w:anchor="_Toc9497080" w:history="1">
            <w:r w:rsidR="0003747A" w:rsidRPr="00C06A1F">
              <w:rPr>
                <w:rStyle w:val="Hipervnculo"/>
                <w:b/>
              </w:rPr>
              <w:t>V Anexos</w:t>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rStyle w:val="Hipervnculo"/>
                <w:b/>
              </w:rPr>
              <w:tab/>
            </w:r>
            <w:r w:rsidR="0003747A" w:rsidRPr="00C06A1F">
              <w:rPr>
                <w:b/>
              </w:rPr>
              <w:tab/>
            </w:r>
            <w:r w:rsidR="0003747A" w:rsidRPr="00C06A1F">
              <w:rPr>
                <w:b/>
              </w:rPr>
              <w:fldChar w:fldCharType="begin"/>
            </w:r>
            <w:r w:rsidR="0003747A" w:rsidRPr="00C06A1F">
              <w:rPr>
                <w:b/>
              </w:rPr>
              <w:instrText xml:space="preserve"> PAGEREF _Toc9497080 \h </w:instrText>
            </w:r>
            <w:r w:rsidR="0003747A" w:rsidRPr="00C06A1F">
              <w:rPr>
                <w:b/>
              </w:rPr>
            </w:r>
            <w:r w:rsidR="0003747A" w:rsidRPr="00C06A1F">
              <w:rPr>
                <w:b/>
              </w:rPr>
              <w:fldChar w:fldCharType="separate"/>
            </w:r>
            <w:r w:rsidR="0003747A" w:rsidRPr="00C06A1F">
              <w:rPr>
                <w:b/>
              </w:rPr>
              <w:t>14</w:t>
            </w:r>
            <w:r w:rsidR="0003747A" w:rsidRPr="00C06A1F">
              <w:rPr>
                <w:b/>
              </w:rPr>
              <w:fldChar w:fldCharType="end"/>
            </w:r>
          </w:hyperlink>
        </w:p>
        <w:p w:rsidR="001D10D6" w:rsidRDefault="0003747A">
          <w:r>
            <w:fldChar w:fldCharType="end"/>
          </w:r>
        </w:p>
      </w:sdtContent>
    </w:sdt>
    <w:p w:rsidR="001D10D6" w:rsidRDefault="0003747A">
      <w:pPr>
        <w:pStyle w:val="Ttulo1"/>
        <w:ind w:right="142"/>
      </w:pPr>
      <w:r>
        <w:br w:type="page"/>
      </w:r>
      <w:bookmarkStart w:id="0" w:name="_Toc9497076"/>
      <w:r>
        <w:lastRenderedPageBreak/>
        <w:t>I OBXECTO</w:t>
      </w:r>
      <w:bookmarkEnd w:id="0"/>
    </w:p>
    <w:p w:rsidR="001D10D6" w:rsidRDefault="0003747A" w:rsidP="00C06A1F">
      <w:bookmarkStart w:id="1" w:name="_Toc9497077"/>
      <w:r>
        <w:t>Definir a metodoloxía que permite aos centros académicos xestionar as competencias que se lle atribúen canto a xestión do PDI, isto é, a identificación das necesidades de recursos humanos e de formación continua para mellorar a súa calidade.</w:t>
      </w:r>
    </w:p>
    <w:p w:rsidR="001D10D6" w:rsidRDefault="001D10D6">
      <w:pPr>
        <w:ind w:right="142"/>
      </w:pPr>
    </w:p>
    <w:p w:rsidR="001D10D6" w:rsidRDefault="0003747A">
      <w:pPr>
        <w:pStyle w:val="Ttulo1"/>
        <w:ind w:right="142"/>
      </w:pPr>
      <w:r>
        <w:t>II ALCANCE</w:t>
      </w:r>
      <w:bookmarkEnd w:id="1"/>
    </w:p>
    <w:p w:rsidR="001D10D6" w:rsidRDefault="0003747A">
      <w:pPr>
        <w:ind w:right="142"/>
      </w:pPr>
      <w:r>
        <w:t>Este procedemento é de aplicación ao persoal docente e investigador da Universidade de Vigo.</w:t>
      </w:r>
    </w:p>
    <w:p w:rsidR="001D10D6" w:rsidRDefault="0003747A">
      <w:pPr>
        <w:ind w:right="142"/>
      </w:pPr>
      <w:r>
        <w:t>En canto a formación abrangue as actividades desenvolvidas ou recoñecidas pola Universidade de Vigo a través da Área de formación e innovación educativa.</w:t>
      </w:r>
    </w:p>
    <w:p w:rsidR="001D10D6" w:rsidRDefault="0003747A">
      <w:pPr>
        <w:ind w:right="142"/>
      </w:pPr>
      <w:r>
        <w:t>No que se refire a avaliación docente recolle o procedemento institucional de avaliación docente conforme ao Programa Docentia, validado por ACSUG.</w:t>
      </w:r>
    </w:p>
    <w:p w:rsidR="001D10D6" w:rsidRDefault="0003747A">
      <w:pPr>
        <w:ind w:right="142"/>
      </w:pPr>
      <w:r>
        <w:t>O desenvolvemento global das distintas accións relacionadas co desenvolvemento da carreira docente e a xestión das distintas situacións administrativas do persoal PDI, están centralizados no Servizo de PDI, dependente da Xerencia Universidade de Vigo, polo que non se inclúen neste documento.</w:t>
      </w:r>
    </w:p>
    <w:p w:rsidR="001D10D6" w:rsidRDefault="001D10D6">
      <w:pPr>
        <w:ind w:right="142"/>
        <w:rPr>
          <w:iCs/>
        </w:rPr>
      </w:pPr>
    </w:p>
    <w:p w:rsidR="001D10D6" w:rsidRDefault="0003747A">
      <w:pPr>
        <w:pStyle w:val="Ttulo1"/>
        <w:ind w:right="142"/>
      </w:pPr>
      <w:bookmarkStart w:id="2" w:name="_Toc9497078"/>
      <w:r>
        <w:t>III REFERENCIAS</w:t>
      </w:r>
      <w:bookmarkEnd w:id="2"/>
    </w:p>
    <w:p w:rsidR="001D10D6" w:rsidRDefault="0003747A">
      <w:pPr>
        <w:pStyle w:val="Ttulo2"/>
        <w:numPr>
          <w:ilvl w:val="0"/>
          <w:numId w:val="3"/>
        </w:numPr>
        <w:ind w:right="142"/>
      </w:pPr>
      <w:r>
        <w:t xml:space="preserve">Normas </w:t>
      </w:r>
    </w:p>
    <w:p w:rsidR="001D10D6" w:rsidRDefault="0003747A">
      <w:r>
        <w:t xml:space="preserve">A lexislación e a normativa xeral que afecta ao SGC dos centros está descrita no </w:t>
      </w:r>
      <w:r>
        <w:rPr>
          <w:i/>
        </w:rPr>
        <w:t>Manual de calidade</w:t>
      </w:r>
      <w:r>
        <w:t xml:space="preserve">. A lexislación que non está no Manual é a seguinte: </w:t>
      </w:r>
    </w:p>
    <w:p w:rsidR="001D10D6" w:rsidRDefault="0003747A">
      <w:pPr>
        <w:ind w:left="360" w:right="142"/>
        <w:rPr>
          <w:b/>
        </w:rPr>
      </w:pPr>
      <w:r>
        <w:rPr>
          <w:b/>
        </w:rPr>
        <w:t>Lexislación</w:t>
      </w:r>
    </w:p>
    <w:p w:rsidR="001D10D6" w:rsidRDefault="0003747A">
      <w:pPr>
        <w:pStyle w:val="Prrafodelista"/>
        <w:numPr>
          <w:ilvl w:val="0"/>
          <w:numId w:val="4"/>
        </w:numPr>
        <w:spacing w:after="120" w:afterAutospacing="0"/>
        <w:ind w:left="357" w:right="142" w:hanging="357"/>
        <w:contextualSpacing w:val="0"/>
      </w:pPr>
      <w:r>
        <w:t>Lei Orgánica 2/2023, de 22 de marzo, do Sistema Universitario.</w:t>
      </w:r>
    </w:p>
    <w:p w:rsidR="001D10D6" w:rsidRDefault="0003747A">
      <w:pPr>
        <w:pStyle w:val="Prrafodelista"/>
        <w:numPr>
          <w:ilvl w:val="0"/>
          <w:numId w:val="4"/>
        </w:numPr>
        <w:spacing w:after="120" w:afterAutospacing="0"/>
        <w:ind w:left="357" w:right="142" w:hanging="357"/>
        <w:contextualSpacing w:val="0"/>
      </w:pPr>
      <w:r>
        <w:t>Real Decreto Lexislativo 5/2015, de 30 de outubro, polo que se aproba o texto refundido de la Lei do Estatuto Básico do Empregado Público.</w:t>
      </w:r>
    </w:p>
    <w:p w:rsidR="001D10D6" w:rsidRDefault="0003747A">
      <w:pPr>
        <w:pStyle w:val="Prrafodelista"/>
        <w:numPr>
          <w:ilvl w:val="0"/>
          <w:numId w:val="4"/>
        </w:numPr>
        <w:spacing w:after="120" w:afterAutospacing="0"/>
        <w:ind w:left="357" w:right="142" w:hanging="357"/>
        <w:contextualSpacing w:val="0"/>
      </w:pPr>
      <w:r>
        <w:lastRenderedPageBreak/>
        <w:t>Lei 14/2011, da ciencia, a tecnoloxía e a innovación.</w:t>
      </w:r>
    </w:p>
    <w:p w:rsidR="001D10D6" w:rsidRDefault="0003747A">
      <w:pPr>
        <w:pStyle w:val="Prrafodelista"/>
        <w:numPr>
          <w:ilvl w:val="0"/>
          <w:numId w:val="4"/>
        </w:numPr>
        <w:spacing w:after="120" w:afterAutospacing="0"/>
        <w:ind w:left="357" w:right="142" w:hanging="357"/>
        <w:contextualSpacing w:val="0"/>
      </w:pPr>
      <w:r>
        <w:t>Lei 6/2013 do sistema universitario de Galicia.</w:t>
      </w:r>
    </w:p>
    <w:p w:rsidR="001D10D6" w:rsidRDefault="0003747A">
      <w:pPr>
        <w:pStyle w:val="Prrafodelista"/>
        <w:numPr>
          <w:ilvl w:val="0"/>
          <w:numId w:val="4"/>
        </w:numPr>
        <w:spacing w:after="120" w:afterAutospacing="0"/>
        <w:ind w:left="357" w:right="142" w:hanging="357"/>
        <w:contextualSpacing w:val="0"/>
      </w:pPr>
      <w:r>
        <w:t>Lei 39/2015, de 1 de outubro, do Procedemento Administrativo Común das Administracións Públicas.</w:t>
      </w:r>
    </w:p>
    <w:p w:rsidR="001D10D6" w:rsidRDefault="0003747A">
      <w:pPr>
        <w:pStyle w:val="Prrafodelista"/>
        <w:numPr>
          <w:ilvl w:val="0"/>
          <w:numId w:val="4"/>
        </w:numPr>
        <w:spacing w:after="120" w:afterAutospacing="0"/>
        <w:ind w:left="357" w:right="142" w:hanging="357"/>
        <w:contextualSpacing w:val="0"/>
      </w:pPr>
      <w:r>
        <w:t>Real decreto 2/2015 polo que se aproba o texto refundido da Lei do Estatuto dos Traballadores.</w:t>
      </w:r>
    </w:p>
    <w:p w:rsidR="001D10D6" w:rsidRDefault="0003747A">
      <w:pPr>
        <w:pStyle w:val="Prrafodelista"/>
        <w:numPr>
          <w:ilvl w:val="0"/>
          <w:numId w:val="4"/>
        </w:numPr>
        <w:spacing w:after="120" w:afterAutospacing="0"/>
        <w:ind w:left="357" w:right="142" w:hanging="357"/>
        <w:contextualSpacing w:val="0"/>
      </w:pPr>
      <w:r>
        <w:t>Real decreto 415/2015, do 29 de maio, polo que se modifica o Real decreto 1312/2007, do 5 de outubro, polo que se establece a acreditación nacional para o acceso aos corpos docentes universitarios.</w:t>
      </w:r>
    </w:p>
    <w:p w:rsidR="001D10D6" w:rsidRDefault="0003747A">
      <w:pPr>
        <w:pStyle w:val="Prrafodelista"/>
        <w:numPr>
          <w:ilvl w:val="0"/>
          <w:numId w:val="4"/>
        </w:numPr>
        <w:spacing w:after="120" w:afterAutospacing="0"/>
        <w:ind w:left="357" w:right="142" w:hanging="357"/>
        <w:contextualSpacing w:val="0"/>
      </w:pPr>
      <w:r>
        <w:t>ANECA: Programa de apoio para a avaliación da calidade da actividade docente do profesorado universitario (Docentia) do 20 de maio de 2021.</w:t>
      </w:r>
    </w:p>
    <w:p w:rsidR="001D10D6" w:rsidRDefault="001D10D6">
      <w:pPr>
        <w:tabs>
          <w:tab w:val="clear" w:pos="1276"/>
        </w:tabs>
        <w:spacing w:before="0" w:beforeAutospacing="0" w:after="200" w:afterAutospacing="0" w:line="276" w:lineRule="auto"/>
        <w:ind w:right="0"/>
        <w:jc w:val="left"/>
      </w:pPr>
    </w:p>
    <w:p w:rsidR="001D10D6" w:rsidRDefault="0003747A">
      <w:pPr>
        <w:pStyle w:val="Ttulo2"/>
        <w:numPr>
          <w:ilvl w:val="0"/>
          <w:numId w:val="3"/>
        </w:numPr>
        <w:ind w:right="142"/>
      </w:pPr>
      <w:r>
        <w:t>Definicións</w:t>
      </w:r>
    </w:p>
    <w:p w:rsidR="001D10D6" w:rsidRDefault="0003747A">
      <w:pPr>
        <w:ind w:right="142"/>
      </w:pPr>
      <w:r>
        <w:rPr>
          <w:rFonts w:ascii="Times New Roman" w:hAnsi="Times New Roman" w:cs="Times New Roman"/>
        </w:rPr>
        <w:t xml:space="preserve">‒ </w:t>
      </w:r>
      <w:r>
        <w:t>Actividade docente: Conxunto de actuacións, realizadas dentro e fóra da aula, destinadas a favorecer a aprendizaxe do estudantado en relación cos obxectivos e competencias definidas no plan de estudos, nun contexto institucional determinado.</w:t>
      </w:r>
    </w:p>
    <w:p w:rsidR="001D10D6" w:rsidRDefault="0003747A">
      <w:pPr>
        <w:ind w:right="142"/>
      </w:pPr>
      <w:r>
        <w:rPr>
          <w:rFonts w:ascii="Times New Roman" w:hAnsi="Times New Roman" w:cs="Times New Roman"/>
        </w:rPr>
        <w:t xml:space="preserve">‒ </w:t>
      </w:r>
      <w:r>
        <w:t xml:space="preserve"> Avaliación da actividade docente: Valoración sistemática da actuación do profesorado, considerando a súa vertente profesional e a súa contribución para conseguir os obxectivos da titulación na que está implicado, en función do contexto institucional no que esta se desenvolve.</w:t>
      </w:r>
    </w:p>
    <w:p w:rsidR="001D10D6" w:rsidRDefault="0003747A">
      <w:pPr>
        <w:ind w:right="142"/>
      </w:pPr>
      <w:r>
        <w:rPr>
          <w:rFonts w:ascii="Times New Roman" w:hAnsi="Times New Roman" w:cs="Times New Roman"/>
        </w:rPr>
        <w:t xml:space="preserve">‒ </w:t>
      </w:r>
      <w:r>
        <w:t xml:space="preserve"> Avaliación da formación: valoración do grao co que se acadaron os obxectivos dunha acción formativa (Norma UNE 66173 IN).</w:t>
      </w:r>
    </w:p>
    <w:p w:rsidR="001D10D6" w:rsidRDefault="0003747A">
      <w:pPr>
        <w:ind w:right="142"/>
      </w:pPr>
      <w:r>
        <w:rPr>
          <w:rFonts w:ascii="Times New Roman" w:hAnsi="Times New Roman" w:cs="Times New Roman"/>
        </w:rPr>
        <w:t xml:space="preserve">‒ </w:t>
      </w:r>
      <w:r>
        <w:t xml:space="preserve"> Comisión de Avaliación Docente: Grupo de persoas nomeadas pola Universidade para avaliar a actividade docente do profesorado, segundo o procedemento establecido.</w:t>
      </w:r>
    </w:p>
    <w:p w:rsidR="001D10D6" w:rsidRDefault="0003747A">
      <w:pPr>
        <w:ind w:right="142"/>
      </w:pPr>
      <w:r>
        <w:rPr>
          <w:rFonts w:ascii="Times New Roman" w:hAnsi="Times New Roman" w:cs="Times New Roman"/>
        </w:rPr>
        <w:t>‒</w:t>
      </w:r>
      <w:r>
        <w:t xml:space="preserve"> Comisión de Estudos Propios: Órgano de regulación, de aprobación, de organización e de supervisión da calidade dos programas de formación permanente da Universidade de Vigo. </w:t>
      </w:r>
    </w:p>
    <w:p w:rsidR="001D10D6" w:rsidRDefault="0003747A">
      <w:pPr>
        <w:ind w:right="142"/>
      </w:pPr>
      <w:r>
        <w:rPr>
          <w:rFonts w:ascii="Times New Roman" w:hAnsi="Times New Roman" w:cs="Times New Roman"/>
        </w:rPr>
        <w:t xml:space="preserve">‒ </w:t>
      </w:r>
      <w:r>
        <w:t xml:space="preserve"> Coordinador/a formativo/a: aos efectos deste procedemento, é a persoa da Universidade de Vigo que deseña unha actividade ou programa formativo e que, en colaboración coas unidades especializadas da organización, apoia a súa execución, avaliación e seguimento.</w:t>
      </w:r>
    </w:p>
    <w:p w:rsidR="001D10D6" w:rsidRDefault="0003747A">
      <w:pPr>
        <w:ind w:right="142"/>
      </w:pPr>
      <w:r>
        <w:rPr>
          <w:rFonts w:ascii="Times New Roman" w:hAnsi="Times New Roman" w:cs="Times New Roman"/>
        </w:rPr>
        <w:lastRenderedPageBreak/>
        <w:t>‒</w:t>
      </w:r>
      <w:r>
        <w:t xml:space="preserve"> Escola Aberta de Formación Permanente: Centro da Universidade de Vigo encargado da xestión e promoción da formación permanente da Uvigo.</w:t>
      </w:r>
    </w:p>
    <w:p w:rsidR="001D10D6" w:rsidRDefault="0003747A">
      <w:pPr>
        <w:ind w:right="142"/>
      </w:pPr>
      <w:r>
        <w:rPr>
          <w:rFonts w:ascii="Times New Roman" w:hAnsi="Times New Roman" w:cs="Times New Roman"/>
        </w:rPr>
        <w:t xml:space="preserve">‒ </w:t>
      </w:r>
      <w:r>
        <w:t xml:space="preserve"> Formación: proceso que proporciona e desenvolve coñecementos, habilidades e comportamentos para cumprir os requirimentos. (Norma UNE 66915).</w:t>
      </w:r>
    </w:p>
    <w:p w:rsidR="001D10D6" w:rsidRDefault="0003747A">
      <w:pPr>
        <w:ind w:right="142"/>
      </w:pPr>
      <w:r>
        <w:rPr>
          <w:rFonts w:ascii="Times New Roman" w:hAnsi="Times New Roman" w:cs="Times New Roman"/>
        </w:rPr>
        <w:t xml:space="preserve">‒ </w:t>
      </w:r>
      <w:r>
        <w:t xml:space="preserve"> Formación permanente: A formación permanente da Universidade de Vigo comprenderá dous tipos de actividades educativas:</w:t>
      </w:r>
    </w:p>
    <w:p w:rsidR="001D10D6" w:rsidRDefault="0003747A">
      <w:pPr>
        <w:pStyle w:val="Prrafodelista"/>
        <w:numPr>
          <w:ilvl w:val="1"/>
          <w:numId w:val="4"/>
        </w:numPr>
        <w:ind w:right="142"/>
      </w:pPr>
      <w:r>
        <w:t>Títulos propios de especialización académica: Ensinos coa finalidade da adquisición de competencias avanzadas, orientadas á especialización profesional e/ou persoal.  Estes títulos poderán orientarse á formación de posgrao ou non requirir unha formación universitaria previa.</w:t>
      </w:r>
    </w:p>
    <w:p w:rsidR="001D10D6" w:rsidRDefault="0003747A">
      <w:pPr>
        <w:pStyle w:val="Prrafodelista"/>
        <w:numPr>
          <w:ilvl w:val="1"/>
          <w:numId w:val="4"/>
        </w:numPr>
        <w:ind w:right="142"/>
      </w:pPr>
      <w:r>
        <w:t>Programas específicos de formación: Están orientados á formación continua de determinados colectivos como o PDI ou persoas maiores. Non poderán coincidir en ningún caso cos títulos propios de especialización académica da Uvigo.</w:t>
      </w:r>
    </w:p>
    <w:p w:rsidR="001D10D6" w:rsidRDefault="0003747A">
      <w:pPr>
        <w:ind w:right="142"/>
      </w:pPr>
      <w:r>
        <w:rPr>
          <w:rFonts w:ascii="Times New Roman" w:hAnsi="Times New Roman" w:cs="Times New Roman"/>
        </w:rPr>
        <w:t xml:space="preserve">‒ </w:t>
      </w:r>
      <w:r>
        <w:t>Persoal docente investigador: Esta constituído polo profesorado dos corpos docentes universitarios e polo profesorado laboral. As figuras que forman parte dos corpos docentes universitarios son os/as catedráticos/as de Universidade e profesores/as titulares de Universidade. As figuras que forman o profesorado laboral son:</w:t>
      </w:r>
    </w:p>
    <w:p w:rsidR="001D10D6" w:rsidRDefault="0003747A">
      <w:pPr>
        <w:pStyle w:val="Prrafodelista"/>
        <w:numPr>
          <w:ilvl w:val="1"/>
          <w:numId w:val="4"/>
        </w:numPr>
        <w:ind w:right="142"/>
      </w:pPr>
      <w:r>
        <w:t>profesorado axudante doutor,</w:t>
      </w:r>
    </w:p>
    <w:p w:rsidR="001D10D6" w:rsidRDefault="0003747A">
      <w:pPr>
        <w:pStyle w:val="Prrafodelista"/>
        <w:numPr>
          <w:ilvl w:val="1"/>
          <w:numId w:val="4"/>
        </w:numPr>
        <w:ind w:right="142"/>
      </w:pPr>
      <w:r>
        <w:t>profesorado asociado,</w:t>
      </w:r>
    </w:p>
    <w:p w:rsidR="001D10D6" w:rsidRDefault="0003747A">
      <w:pPr>
        <w:pStyle w:val="Prrafodelista"/>
        <w:numPr>
          <w:ilvl w:val="1"/>
          <w:numId w:val="4"/>
        </w:numPr>
        <w:ind w:right="142"/>
      </w:pPr>
      <w:r>
        <w:t>profesorado substituto,</w:t>
      </w:r>
    </w:p>
    <w:p w:rsidR="001D10D6" w:rsidRDefault="0003747A">
      <w:pPr>
        <w:pStyle w:val="Prrafodelista"/>
        <w:numPr>
          <w:ilvl w:val="1"/>
          <w:numId w:val="4"/>
        </w:numPr>
        <w:ind w:right="142"/>
      </w:pPr>
      <w:r>
        <w:t>profesorado emérito,</w:t>
      </w:r>
    </w:p>
    <w:p w:rsidR="001D10D6" w:rsidRDefault="0003747A">
      <w:pPr>
        <w:pStyle w:val="Prrafodelista"/>
        <w:numPr>
          <w:ilvl w:val="1"/>
          <w:numId w:val="4"/>
        </w:numPr>
        <w:ind w:right="142"/>
      </w:pPr>
      <w:r>
        <w:t>profesorado permanente laboral,</w:t>
      </w:r>
    </w:p>
    <w:p w:rsidR="001D10D6" w:rsidRDefault="0003747A">
      <w:pPr>
        <w:pStyle w:val="Prrafodelista"/>
        <w:numPr>
          <w:ilvl w:val="1"/>
          <w:numId w:val="4"/>
        </w:numPr>
        <w:ind w:right="142"/>
      </w:pPr>
      <w:r>
        <w:t>profesorado visitante e profesorado distinguido.</w:t>
      </w:r>
    </w:p>
    <w:p w:rsidR="001D10D6" w:rsidRDefault="0003747A">
      <w:pPr>
        <w:ind w:right="142"/>
      </w:pPr>
      <w:r>
        <w:t>- Persoal investigador contratado: doutores ou doutoras seleccionados mediante convocatoria pública.</w:t>
      </w:r>
    </w:p>
    <w:p w:rsidR="001D10D6" w:rsidRDefault="0003747A">
      <w:pPr>
        <w:ind w:right="142"/>
      </w:pPr>
      <w:r>
        <w:t>- Formación continua: conxunto de todas as actividades de aprendizaxe ao longo da vida, co obxectivo de mellorar o coñecemento, as habilidades e as competencias tanto no plano persoal coma social ou profesional (Consello de Europa, 2000).</w:t>
      </w:r>
    </w:p>
    <w:p w:rsidR="001D10D6" w:rsidRDefault="0003747A">
      <w:pPr>
        <w:ind w:right="142"/>
      </w:pPr>
      <w:r>
        <w:lastRenderedPageBreak/>
        <w:t>- Formación permanente: A formación permanente da Universidade de Vigo comprenderá dous tipos de actividades educativas:</w:t>
      </w:r>
    </w:p>
    <w:p w:rsidR="001D10D6" w:rsidRDefault="0003747A">
      <w:pPr>
        <w:pStyle w:val="Prrafodelista"/>
        <w:numPr>
          <w:ilvl w:val="1"/>
          <w:numId w:val="4"/>
        </w:numPr>
        <w:ind w:right="142"/>
      </w:pPr>
      <w:r>
        <w:t>Títulos propios de especialización académica: Ensinos coa finalidade da adquisición de competencias avanzadas, orientadas, á especialización profesional e/ou persoal.  Estes títulos poderán orientarse á formación de posgrao ou non requirir unha formación universitaria previa.</w:t>
      </w:r>
    </w:p>
    <w:p w:rsidR="001D10D6" w:rsidRDefault="0003747A">
      <w:pPr>
        <w:pStyle w:val="Prrafodelista"/>
        <w:numPr>
          <w:ilvl w:val="1"/>
          <w:numId w:val="4"/>
        </w:numPr>
        <w:ind w:right="142"/>
      </w:pPr>
      <w:r>
        <w:t>Programas específicos de formación: Están orientados á formación continua de determinados colectivos como o PDI ou persoas maiores. Non poderán coincidir en ningún caso cos títulos propios de especialización académica da Uvigo.</w:t>
      </w:r>
    </w:p>
    <w:p w:rsidR="001D10D6" w:rsidRDefault="0003747A">
      <w:pPr>
        <w:ind w:right="142"/>
      </w:pPr>
      <w:r>
        <w:t>- Títulos propios de especialización académica de posgrao: Poden cursalos as persoas tituladas ou o estudantado universitario que cumpra os requisitos de admisión e se clasifican segundo a súa duración:</w:t>
      </w:r>
    </w:p>
    <w:p w:rsidR="001D10D6" w:rsidRDefault="0003747A">
      <w:pPr>
        <w:pStyle w:val="Prrafodelista"/>
        <w:numPr>
          <w:ilvl w:val="1"/>
          <w:numId w:val="4"/>
        </w:numPr>
        <w:ind w:right="142"/>
      </w:pPr>
      <w:r>
        <w:t>Títulos de mestrado propio cunha carga lectiva de 60, 90 ou 120 créditos.</w:t>
      </w:r>
    </w:p>
    <w:p w:rsidR="001D10D6" w:rsidRDefault="0003747A">
      <w:pPr>
        <w:pStyle w:val="Prrafodelista"/>
        <w:numPr>
          <w:ilvl w:val="1"/>
          <w:numId w:val="4"/>
        </w:numPr>
        <w:ind w:right="142"/>
      </w:pPr>
      <w:r>
        <w:t>Títulos de especialista cunha carga lectiva entre 30 e 59 créditos.</w:t>
      </w:r>
    </w:p>
    <w:p w:rsidR="001D10D6" w:rsidRDefault="0003747A">
      <w:pPr>
        <w:pStyle w:val="Prrafodelista"/>
        <w:numPr>
          <w:ilvl w:val="1"/>
          <w:numId w:val="4"/>
        </w:numPr>
        <w:ind w:right="142"/>
      </w:pPr>
      <w:r>
        <w:t>Título de experto/a cunha carga lectiva entre 15 e 29 créditos.</w:t>
      </w:r>
    </w:p>
    <w:p w:rsidR="001D10D6" w:rsidRDefault="0003747A">
      <w:pPr>
        <w:pStyle w:val="Prrafodelista"/>
        <w:numPr>
          <w:ilvl w:val="1"/>
          <w:numId w:val="4"/>
        </w:numPr>
        <w:ind w:right="142"/>
      </w:pPr>
      <w:r>
        <w:t>Diploma de curso avanzado de posgrao cunha carga lectiva entre 3 e 14 créditos.</w:t>
      </w:r>
    </w:p>
    <w:p w:rsidR="001D10D6" w:rsidRDefault="0003747A">
      <w:pPr>
        <w:ind w:right="142"/>
      </w:pPr>
      <w:r>
        <w:t>- Títulos propios de especialización académica universitaria: Están dirixidas ao estudantado ou profesionais para o seu desenvolvemento persoal ou profesional. Non cómpre titulación universitaria previa e os requisitos de acceso serán fixados pola dirección académica. En función da súa duración, clasifícanse:</w:t>
      </w:r>
    </w:p>
    <w:p w:rsidR="001D10D6" w:rsidRDefault="0003747A">
      <w:pPr>
        <w:pStyle w:val="Prrafodelista"/>
        <w:numPr>
          <w:ilvl w:val="1"/>
          <w:numId w:val="4"/>
        </w:numPr>
        <w:ind w:right="142"/>
      </w:pPr>
      <w:r>
        <w:t>Diploma de formación superior universitaria cunha carga lectiva entre 20 e 30 créditos.</w:t>
      </w:r>
    </w:p>
    <w:p w:rsidR="001D10D6" w:rsidRDefault="0003747A">
      <w:pPr>
        <w:pStyle w:val="Prrafodelista"/>
        <w:numPr>
          <w:ilvl w:val="1"/>
          <w:numId w:val="4"/>
        </w:numPr>
        <w:ind w:right="142"/>
      </w:pPr>
      <w:r>
        <w:t>Diploma de curso de formación universitaria cunha carga lectiva de ata 19 créditos.</w:t>
      </w:r>
    </w:p>
    <w:p w:rsidR="001D10D6" w:rsidRDefault="0003747A">
      <w:pPr>
        <w:ind w:right="142"/>
      </w:pPr>
      <w:r>
        <w:t>- Necesidades específicas de apoio educativo: Son o conxunto de necesidades que presenta o alumnado nunha etapa educativa concreta ou que se estende ao longo de todas elas e que abarca desde necesidades especiais derivadas dunha discapacidade, un trastorno de conduta, polas súas altas capacidades intelectuais, por incorporarse tarde ao sistema educativo ou polas súas condicións persoais ou de historia escolar (Lei orgánica 2/2006, do 3 de maio, de educación).</w:t>
      </w:r>
    </w:p>
    <w:p w:rsidR="001D10D6" w:rsidRDefault="001D10D6">
      <w:pPr>
        <w:pStyle w:val="Estilo5"/>
        <w:numPr>
          <w:ilvl w:val="0"/>
          <w:numId w:val="0"/>
        </w:numPr>
        <w:spacing w:after="100"/>
        <w:rPr>
          <w:i w:val="0"/>
        </w:rPr>
      </w:pPr>
    </w:p>
    <w:p w:rsidR="001D10D6" w:rsidRDefault="0003747A">
      <w:pPr>
        <w:tabs>
          <w:tab w:val="clear" w:pos="1276"/>
        </w:tabs>
        <w:spacing w:before="0" w:beforeAutospacing="0" w:after="200" w:afterAutospacing="0" w:line="276" w:lineRule="auto"/>
        <w:ind w:right="0"/>
        <w:jc w:val="left"/>
        <w:rPr>
          <w:rFonts w:eastAsiaTheme="majorEastAsia" w:cstheme="majorBidi"/>
          <w:bCs/>
          <w:color w:val="2C1C65"/>
          <w:sz w:val="28"/>
          <w:szCs w:val="26"/>
        </w:rPr>
      </w:pPr>
      <w:r>
        <w:br w:type="page"/>
      </w:r>
    </w:p>
    <w:p w:rsidR="001D10D6" w:rsidRDefault="0003747A">
      <w:pPr>
        <w:pStyle w:val="Ttulo2"/>
        <w:numPr>
          <w:ilvl w:val="0"/>
          <w:numId w:val="3"/>
        </w:numPr>
      </w:pPr>
      <w:r>
        <w:lastRenderedPageBreak/>
        <w:t>Abreviaturas e siglas</w:t>
      </w:r>
    </w:p>
    <w:p w:rsidR="001D10D6" w:rsidRDefault="0003747A">
      <w:pPr>
        <w:spacing w:before="0" w:beforeAutospacing="0" w:after="120" w:afterAutospacing="0"/>
      </w:pPr>
      <w:r>
        <w:t>- ACSUG: Axencia para a Calidade do Sistema Universitario de Galicia.</w:t>
      </w:r>
    </w:p>
    <w:p w:rsidR="001D10D6" w:rsidRDefault="0003747A">
      <w:pPr>
        <w:spacing w:before="0" w:beforeAutospacing="0" w:after="120" w:afterAutospacing="0"/>
      </w:pPr>
      <w:r>
        <w:t>- ANECA : Axencia Nacional de Avaliación da Calidade e Acreditación.</w:t>
      </w:r>
    </w:p>
    <w:p w:rsidR="001D10D6" w:rsidRDefault="0003747A">
      <w:pPr>
        <w:spacing w:before="0" w:beforeAutospacing="0" w:after="120" w:afterAutospacing="0"/>
      </w:pPr>
      <w:r>
        <w:t>- CAD: Comisión de Avaliación Docente.</w:t>
      </w:r>
    </w:p>
    <w:p w:rsidR="001D10D6" w:rsidRDefault="0003747A">
      <w:pPr>
        <w:spacing w:before="0" w:beforeAutospacing="0" w:after="120" w:afterAutospacing="0"/>
      </w:pPr>
      <w:r>
        <w:t>- CEP: Comisión de Estudos Propios.</w:t>
      </w:r>
    </w:p>
    <w:p w:rsidR="001D10D6" w:rsidRDefault="0003747A">
      <w:pPr>
        <w:spacing w:before="0" w:beforeAutospacing="0" w:after="120" w:afterAutospacing="0"/>
      </w:pPr>
      <w:r>
        <w:t>- EAFP: Escola Aberta de Formación Permanente  ou Centro de Posgrao de Formación Permanente.</w:t>
      </w:r>
    </w:p>
    <w:p w:rsidR="001D10D6" w:rsidRDefault="0003747A">
      <w:pPr>
        <w:spacing w:before="0" w:beforeAutospacing="0" w:after="120" w:afterAutospacing="0"/>
      </w:pPr>
      <w:r>
        <w:t>- EAD: Enquisa de avaliación docente do profesorado.</w:t>
      </w:r>
    </w:p>
    <w:p w:rsidR="001D10D6" w:rsidRDefault="0003747A">
      <w:pPr>
        <w:spacing w:before="0" w:beforeAutospacing="0" w:after="120" w:afterAutospacing="0"/>
      </w:pPr>
      <w:r>
        <w:t xml:space="preserve">- ENQA: </w:t>
      </w:r>
      <w:r>
        <w:rPr>
          <w:i/>
          <w:lang w:val="en-US"/>
        </w:rPr>
        <w:t>European Association for Quality Assurance in Higher Education</w:t>
      </w:r>
      <w:r>
        <w:rPr>
          <w:lang w:val="en-US"/>
        </w:rPr>
        <w:t xml:space="preserve"> </w:t>
      </w:r>
      <w:r>
        <w:t>(Rede Europea para a Garantía da Calidade na Educación Superior).</w:t>
      </w:r>
    </w:p>
    <w:p w:rsidR="001D10D6" w:rsidRDefault="0003747A">
      <w:pPr>
        <w:spacing w:before="0" w:beforeAutospacing="0" w:after="120" w:afterAutospacing="0"/>
      </w:pPr>
      <w:r>
        <w:t>- FIE: Formación e Innovación Educativa.</w:t>
      </w:r>
    </w:p>
    <w:p w:rsidR="001D10D6" w:rsidRDefault="0003747A">
      <w:pPr>
        <w:spacing w:before="0" w:beforeAutospacing="0" w:after="120" w:afterAutospacing="0"/>
      </w:pPr>
      <w:r>
        <w:t>- PDA: Programación Docente Anual.</w:t>
      </w:r>
    </w:p>
    <w:p w:rsidR="001D10D6" w:rsidRDefault="0003747A">
      <w:pPr>
        <w:spacing w:before="0" w:beforeAutospacing="0" w:after="120" w:afterAutospacing="0"/>
      </w:pPr>
      <w:r>
        <w:t>- PDI: Persoal Docente e Investigador.</w:t>
      </w:r>
    </w:p>
    <w:p w:rsidR="001D10D6" w:rsidRDefault="0003747A">
      <w:pPr>
        <w:spacing w:before="0" w:beforeAutospacing="0" w:after="120" w:afterAutospacing="0"/>
      </w:pPr>
      <w:r>
        <w:t>- POX: Plan operativo de xestión.</w:t>
      </w:r>
    </w:p>
    <w:p w:rsidR="001D10D6" w:rsidRDefault="0003747A">
      <w:pPr>
        <w:spacing w:before="0" w:beforeAutospacing="0" w:after="120" w:afterAutospacing="0"/>
      </w:pPr>
      <w:r>
        <w:t>- POD: Plan de Organización Docente.</w:t>
      </w:r>
    </w:p>
    <w:p w:rsidR="001D10D6" w:rsidRDefault="0003747A">
      <w:pPr>
        <w:spacing w:before="0" w:beforeAutospacing="0" w:after="120" w:afterAutospacing="0"/>
      </w:pPr>
      <w:r>
        <w:t>- PTXAS: Persoal Técnico de Xestión de Administración e Servizos.</w:t>
      </w:r>
    </w:p>
    <w:p w:rsidR="001D10D6" w:rsidRDefault="0003747A">
      <w:pPr>
        <w:spacing w:before="0" w:beforeAutospacing="0" w:after="120" w:afterAutospacing="0"/>
      </w:pPr>
      <w:r>
        <w:t>- QSP: Queixas, Suxestións e Parabéns.</w:t>
      </w:r>
    </w:p>
    <w:p w:rsidR="001D10D6" w:rsidRDefault="0003747A">
      <w:pPr>
        <w:spacing w:before="0" w:beforeAutospacing="0" w:after="120" w:afterAutospacing="0"/>
      </w:pPr>
      <w:r>
        <w:t>- SGIC: Sistema de Garantía Interna de Calidade.</w:t>
      </w:r>
    </w:p>
    <w:p w:rsidR="001D10D6" w:rsidRDefault="0003747A">
      <w:pPr>
        <w:spacing w:before="0" w:beforeAutospacing="0" w:after="120" w:afterAutospacing="0"/>
      </w:pPr>
      <w:r>
        <w:t>- UAP: Unidade de Análises e Programas.</w:t>
      </w:r>
    </w:p>
    <w:p w:rsidR="001D10D6" w:rsidRDefault="001D10D6">
      <w:pPr>
        <w:spacing w:before="0" w:beforeAutospacing="0" w:after="120" w:afterAutospacing="0"/>
      </w:pPr>
    </w:p>
    <w:p w:rsidR="001D10D6" w:rsidRDefault="001D10D6">
      <w:pPr>
        <w:tabs>
          <w:tab w:val="clear" w:pos="1276"/>
        </w:tabs>
        <w:spacing w:before="0" w:beforeAutospacing="0" w:after="200" w:afterAutospacing="0" w:line="276" w:lineRule="auto"/>
        <w:ind w:right="0"/>
        <w:jc w:val="left"/>
        <w:rPr>
          <w:color w:val="2C1C65"/>
          <w:sz w:val="28"/>
          <w:szCs w:val="28"/>
        </w:rPr>
      </w:pPr>
    </w:p>
    <w:p w:rsidR="001D10D6" w:rsidRDefault="0003747A">
      <w:pPr>
        <w:tabs>
          <w:tab w:val="clear" w:pos="1276"/>
        </w:tabs>
        <w:spacing w:before="0" w:beforeAutospacing="0" w:after="200" w:afterAutospacing="0" w:line="276" w:lineRule="auto"/>
        <w:ind w:right="0"/>
        <w:jc w:val="left"/>
        <w:rPr>
          <w:color w:val="2C1C65"/>
          <w:sz w:val="28"/>
          <w:szCs w:val="28"/>
        </w:rPr>
      </w:pPr>
      <w:bookmarkStart w:id="3" w:name="_Toc9497079"/>
      <w:r>
        <w:br w:type="page"/>
      </w:r>
    </w:p>
    <w:p w:rsidR="001D10D6" w:rsidRDefault="0003747A">
      <w:pPr>
        <w:pStyle w:val="Ttulo1"/>
        <w:ind w:right="142"/>
      </w:pPr>
      <w:r>
        <w:lastRenderedPageBreak/>
        <w:t>IV DESENVOLVEMENTO</w:t>
      </w:r>
      <w:bookmarkEnd w:id="3"/>
    </w:p>
    <w:p w:rsidR="001D10D6" w:rsidRDefault="0003747A">
      <w:pPr>
        <w:pStyle w:val="Ttulo2"/>
        <w:numPr>
          <w:ilvl w:val="0"/>
          <w:numId w:val="5"/>
        </w:numPr>
        <w:ind w:right="142"/>
      </w:pPr>
      <w:r>
        <w:t>Finalidade do proceso</w:t>
      </w:r>
    </w:p>
    <w:p w:rsidR="001D10D6" w:rsidRDefault="0003747A">
      <w:pPr>
        <w:ind w:right="142"/>
      </w:pPr>
      <w:r>
        <w:t>Realizar de xeito eficaz e eficiente os procedementos ligados a xestión do PDI e contribuír a través da avaliación e formación a:</w:t>
      </w:r>
    </w:p>
    <w:p w:rsidR="001D10D6" w:rsidRDefault="0003747A">
      <w:pPr>
        <w:pStyle w:val="Prrafodelista"/>
        <w:numPr>
          <w:ilvl w:val="0"/>
          <w:numId w:val="6"/>
        </w:numPr>
        <w:spacing w:after="120" w:afterAutospacing="0"/>
        <w:ind w:left="357" w:right="142" w:hanging="357"/>
        <w:contextualSpacing w:val="0"/>
      </w:pPr>
      <w:r>
        <w:t>garantir que o profesorado estea cualificado e sexa competente no seu traballo.</w:t>
      </w:r>
    </w:p>
    <w:p w:rsidR="001D10D6" w:rsidRDefault="0003747A">
      <w:pPr>
        <w:pStyle w:val="Prrafodelista"/>
        <w:numPr>
          <w:ilvl w:val="0"/>
          <w:numId w:val="6"/>
        </w:numPr>
        <w:spacing w:after="120" w:afterAutospacing="0"/>
        <w:ind w:left="357" w:right="142" w:hanging="357"/>
        <w:contextualSpacing w:val="0"/>
      </w:pPr>
      <w:r>
        <w:t>mellorar os resultados de calidade dos centros e titulacións.</w:t>
      </w:r>
    </w:p>
    <w:p w:rsidR="001D10D6" w:rsidRDefault="001D10D6">
      <w:pPr>
        <w:ind w:right="142"/>
      </w:pPr>
    </w:p>
    <w:p w:rsidR="001D10D6" w:rsidRDefault="0003747A">
      <w:pPr>
        <w:pStyle w:val="Ttulo2"/>
        <w:numPr>
          <w:ilvl w:val="0"/>
          <w:numId w:val="5"/>
        </w:numPr>
        <w:spacing w:before="100" w:after="100"/>
        <w:ind w:right="142"/>
      </w:pPr>
      <w:r>
        <w:t>Responsable do proceso</w:t>
      </w:r>
    </w:p>
    <w:p w:rsidR="001D10D6" w:rsidRDefault="0003747A">
      <w:pPr>
        <w:pStyle w:val="Prrafodelista"/>
        <w:spacing w:after="120" w:afterAutospacing="0"/>
        <w:ind w:left="357" w:right="142" w:hanging="357"/>
        <w:contextualSpacing w:val="0"/>
      </w:pPr>
      <w:r>
        <w:t>• Vicerreitoría con competencias en profesorado.</w:t>
      </w:r>
    </w:p>
    <w:p w:rsidR="001D10D6" w:rsidRDefault="001D10D6">
      <w:pPr>
        <w:pStyle w:val="Prrafodelista"/>
        <w:spacing w:after="120" w:afterAutospacing="0"/>
        <w:ind w:left="357" w:right="142" w:hanging="357"/>
        <w:contextualSpacing w:val="0"/>
      </w:pPr>
    </w:p>
    <w:p w:rsidR="001D10D6" w:rsidRDefault="0003747A">
      <w:pPr>
        <w:pStyle w:val="Ttulo2"/>
        <w:numPr>
          <w:ilvl w:val="0"/>
          <w:numId w:val="5"/>
        </w:numPr>
        <w:ind w:right="142"/>
      </w:pPr>
      <w:r>
        <w:t>Indicadores</w:t>
      </w:r>
    </w:p>
    <w:p w:rsidR="001D10D6" w:rsidRDefault="0003747A">
      <w:pPr>
        <w:ind w:right="142"/>
      </w:pPr>
      <w:r>
        <w:t xml:space="preserve">Para a medición dos resultados asociados a este procedemento terase en conta o panel de indicadores centralizado segundo o establecido no procedemento </w:t>
      </w:r>
      <w:r>
        <w:rPr>
          <w:i/>
        </w:rPr>
        <w:t>“DE-02 Xestión e Medición dos Resultados”</w:t>
      </w:r>
      <w:r>
        <w:t>.</w:t>
      </w:r>
    </w:p>
    <w:p w:rsidR="001D10D6" w:rsidRDefault="0003747A">
      <w:pPr>
        <w:ind w:right="142"/>
      </w:pPr>
      <w:r>
        <w:t>A descrición e o modo de cálculo destes indicadores están definidos no catálogo de indicadores, dispoñible no portal de transparencia da Universidade de Vigo.</w:t>
      </w:r>
    </w:p>
    <w:p w:rsidR="001D10D6" w:rsidRDefault="001D10D6"/>
    <w:p w:rsidR="001D10D6" w:rsidRDefault="001D10D6"/>
    <w:p w:rsidR="001D10D6" w:rsidRDefault="001D10D6"/>
    <w:p w:rsidR="001D10D6" w:rsidRDefault="001D10D6"/>
    <w:p w:rsidR="001D10D6" w:rsidRDefault="0003747A">
      <w:pPr>
        <w:tabs>
          <w:tab w:val="clear" w:pos="1276"/>
        </w:tabs>
        <w:spacing w:before="0" w:beforeAutospacing="0" w:after="200" w:afterAutospacing="0" w:line="276" w:lineRule="auto"/>
        <w:ind w:right="0"/>
        <w:jc w:val="left"/>
      </w:pPr>
      <w:r>
        <w:br w:type="page"/>
      </w:r>
    </w:p>
    <w:p w:rsidR="001D10D6" w:rsidRDefault="0003747A">
      <w:pPr>
        <w:pStyle w:val="Ttulo2"/>
        <w:numPr>
          <w:ilvl w:val="0"/>
          <w:numId w:val="5"/>
        </w:numPr>
      </w:pPr>
      <w:r>
        <w:lastRenderedPageBreak/>
        <w:t>Diagrama de fluxo</w:t>
      </w:r>
    </w:p>
    <w:bookmarkStart w:id="4" w:name="_GoBack"/>
    <w:p w:rsidR="001D10D6" w:rsidRDefault="00846952">
      <w:r>
        <w:object w:dxaOrig="11940" w:dyaOrig="16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5.5pt;height:629.25pt" o:ole="">
            <v:imagedata r:id="rId10" o:title="" croptop="2208f" cropbottom="2116f" cropleft="1034f" cropright="333f"/>
          </v:shape>
          <o:OLEObject Type="Embed" ProgID="Visio.Drawing.11" ShapeID="_x0000_i1031" DrawAspect="Content" ObjectID="_1757499469" r:id="rId11"/>
        </w:object>
      </w:r>
      <w:bookmarkEnd w:id="4"/>
    </w:p>
    <w:bookmarkStart w:id="5" w:name="_MON_1744709536"/>
    <w:bookmarkEnd w:id="5"/>
    <w:p w:rsidR="001D10D6" w:rsidRDefault="0003747A">
      <w:pPr>
        <w:tabs>
          <w:tab w:val="clear" w:pos="1276"/>
        </w:tabs>
        <w:spacing w:before="0" w:beforeAutospacing="0" w:after="200" w:afterAutospacing="0" w:line="276" w:lineRule="auto"/>
        <w:ind w:right="0"/>
        <w:jc w:val="left"/>
      </w:pPr>
      <w:r>
        <w:object w:dxaOrig="9510" w:dyaOrig="13455">
          <v:shape id="_x0000_i1026" type="#_x0000_t75" style="width:475.5pt;height:672.75pt" o:ole="">
            <v:imagedata r:id="rId12" o:title="" croptop="1693f" cropbottom="1989f" cropleft="1034f" cropright="2440f"/>
          </v:shape>
          <o:OLEObject Type="Embed" ProgID="Visio.Drawing.11" ShapeID="_x0000_i1026" DrawAspect="Content" ObjectID="_1757499470" r:id="rId13"/>
        </w:object>
      </w:r>
    </w:p>
    <w:bookmarkStart w:id="6" w:name="_MON_1744713411"/>
    <w:bookmarkEnd w:id="6"/>
    <w:p w:rsidR="001D10D6" w:rsidRDefault="0003747A">
      <w:r>
        <w:object w:dxaOrig="9810" w:dyaOrig="8010">
          <v:shape id="_x0000_i1027" type="#_x0000_t75" style="width:490.5pt;height:400.5pt" o:ole="">
            <v:imagedata r:id="rId14" o:title="" croptop="1693f" cropbottom="28413f" cropleft="1034f" cropright="2821f"/>
          </v:shape>
          <o:OLEObject Type="Embed" ProgID="Visio.Drawing.11" ShapeID="_x0000_i1027" DrawAspect="Content" ObjectID="_1757499471" r:id="rId15"/>
        </w:object>
      </w:r>
    </w:p>
    <w:p w:rsidR="001D10D6" w:rsidRDefault="001D10D6"/>
    <w:bookmarkStart w:id="7" w:name="_MON_1744723213"/>
    <w:bookmarkEnd w:id="7"/>
    <w:p w:rsidR="001D10D6" w:rsidRDefault="0003747A">
      <w:r>
        <w:object w:dxaOrig="9540" w:dyaOrig="9330">
          <v:shape id="_x0000_i1028" type="#_x0000_t75" style="width:477pt;height:466.5pt" o:ole="">
            <v:imagedata r:id="rId16" o:title="" croptop="1693f" cropbottom="21761f" cropleft="1034f" cropright="3257f"/>
          </v:shape>
          <o:OLEObject Type="Embed" ProgID="Visio.Drawing.11" ShapeID="_x0000_i1028" DrawAspect="Content" ObjectID="_1757499472" r:id="rId17"/>
        </w:object>
      </w:r>
    </w:p>
    <w:p w:rsidR="001D10D6" w:rsidRDefault="0003747A">
      <w:pPr>
        <w:tabs>
          <w:tab w:val="clear" w:pos="1276"/>
        </w:tabs>
        <w:spacing w:before="0" w:beforeAutospacing="0" w:after="200" w:afterAutospacing="0" w:line="276" w:lineRule="auto"/>
        <w:ind w:right="0"/>
        <w:jc w:val="left"/>
      </w:pPr>
      <w:bookmarkStart w:id="8" w:name="_Toc347908984"/>
      <w:bookmarkStart w:id="9" w:name="_Toc9497080"/>
      <w:r>
        <w:br w:type="page"/>
      </w:r>
    </w:p>
    <w:p w:rsidR="001D10D6" w:rsidRDefault="001D10D6">
      <w:pPr>
        <w:tabs>
          <w:tab w:val="clear" w:pos="1276"/>
        </w:tabs>
        <w:spacing w:before="0" w:beforeAutospacing="0" w:after="200" w:afterAutospacing="0" w:line="276" w:lineRule="auto"/>
        <w:ind w:right="0"/>
        <w:jc w:val="left"/>
      </w:pPr>
    </w:p>
    <w:p w:rsidR="001D10D6" w:rsidRDefault="0003747A">
      <w:pPr>
        <w:pStyle w:val="Ttulo1"/>
        <w:ind w:right="142"/>
      </w:pPr>
      <w:r>
        <w:t>V ANEXOS</w:t>
      </w:r>
      <w:bookmarkEnd w:id="8"/>
      <w:bookmarkEnd w:id="9"/>
    </w:p>
    <w:p w:rsidR="001D10D6" w:rsidRDefault="0003747A">
      <w:pPr>
        <w:pStyle w:val="Ttulo2"/>
        <w:ind w:right="142"/>
      </w:pPr>
      <w:r>
        <w:t>Documentos</w:t>
      </w:r>
    </w:p>
    <w:p w:rsidR="001D10D6" w:rsidRDefault="0003747A">
      <w:pPr>
        <w:ind w:right="142"/>
      </w:pPr>
      <w:r>
        <w:t>Non hai anexos asociados neste documento</w:t>
      </w:r>
    </w:p>
    <w:p w:rsidR="001D10D6" w:rsidRDefault="0003747A">
      <w:pPr>
        <w:pStyle w:val="Ttulo2"/>
        <w:ind w:right="142"/>
      </w:pPr>
      <w:r>
        <w:t>Rexistros</w:t>
      </w:r>
    </w:p>
    <w:tbl>
      <w:tblPr>
        <w:tblStyle w:val="Sombreadoclaro-nfasis113"/>
        <w:tblW w:w="9923" w:type="dxa"/>
        <w:tblInd w:w="-289"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ayout w:type="fixed"/>
        <w:tblLook w:val="04A0" w:firstRow="1" w:lastRow="0" w:firstColumn="1" w:lastColumn="0" w:noHBand="0" w:noVBand="1"/>
      </w:tblPr>
      <w:tblGrid>
        <w:gridCol w:w="1277"/>
        <w:gridCol w:w="2409"/>
        <w:gridCol w:w="1560"/>
        <w:gridCol w:w="1701"/>
        <w:gridCol w:w="1842"/>
        <w:gridCol w:w="1134"/>
      </w:tblGrid>
      <w:tr w:rsidR="001D10D6" w:rsidTr="001D1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tcBorders>
              <w:top w:val="single" w:sz="4" w:space="0" w:color="4BACC6" w:themeColor="accent5"/>
              <w:left w:val="single" w:sz="4" w:space="0" w:color="4BACC6" w:themeColor="accent5"/>
              <w:bottom w:val="nil"/>
            </w:tcBorders>
            <w:shd w:val="clear" w:color="auto" w:fill="B8CCE4" w:themeFill="accent1" w:themeFillTint="66"/>
            <w:vAlign w:val="center"/>
          </w:tcPr>
          <w:p w:rsidR="001D10D6" w:rsidRDefault="0003747A">
            <w:pPr>
              <w:tabs>
                <w:tab w:val="clear" w:pos="1276"/>
              </w:tabs>
              <w:spacing w:before="0" w:beforeAutospacing="0" w:after="0" w:afterAutospacing="0" w:line="276" w:lineRule="auto"/>
              <w:ind w:right="142"/>
              <w:jc w:val="center"/>
              <w:rPr>
                <w:rFonts w:cs="Arial"/>
                <w:b w:val="0"/>
                <w:bCs w:val="0"/>
                <w:color w:val="auto"/>
                <w:sz w:val="20"/>
                <w:szCs w:val="20"/>
                <w:lang w:eastAsia="es-ES"/>
              </w:rPr>
            </w:pPr>
            <w:r>
              <w:rPr>
                <w:rFonts w:cs="Arial"/>
                <w:bCs w:val="0"/>
                <w:color w:val="auto"/>
                <w:sz w:val="20"/>
                <w:szCs w:val="20"/>
                <w:lang w:eastAsia="es-ES"/>
              </w:rPr>
              <w:t>Identificación do rexistro</w:t>
            </w:r>
          </w:p>
        </w:tc>
        <w:tc>
          <w:tcPr>
            <w:tcW w:w="1560" w:type="dxa"/>
            <w:vMerge w:val="restart"/>
            <w:tcBorders>
              <w:top w:val="single" w:sz="4" w:space="0" w:color="4BACC6" w:themeColor="accent5"/>
              <w:left w:val="dotted" w:sz="4" w:space="0" w:color="auto"/>
            </w:tcBorders>
            <w:shd w:val="clear" w:color="auto" w:fill="B8CCE4" w:themeFill="accent1" w:themeFillTint="66"/>
            <w:vAlign w:val="center"/>
          </w:tcPr>
          <w:p w:rsidR="001D10D6" w:rsidRDefault="0003747A">
            <w:pPr>
              <w:tabs>
                <w:tab w:val="clear" w:pos="1276"/>
              </w:tabs>
              <w:spacing w:before="0" w:beforeAutospacing="0" w:after="0" w:afterAutospacing="0" w:line="276" w:lineRule="auto"/>
              <w:ind w:right="142"/>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lang w:eastAsia="es-ES"/>
              </w:rPr>
            </w:pPr>
            <w:r>
              <w:rPr>
                <w:rFonts w:cs="Arial"/>
                <w:bCs w:val="0"/>
                <w:color w:val="auto"/>
                <w:sz w:val="20"/>
                <w:szCs w:val="20"/>
                <w:lang w:eastAsia="es-ES"/>
              </w:rPr>
              <w:t>Soporte orixinal</w:t>
            </w:r>
          </w:p>
        </w:tc>
        <w:tc>
          <w:tcPr>
            <w:tcW w:w="1701" w:type="dxa"/>
            <w:vMerge w:val="restart"/>
            <w:tcBorders>
              <w:top w:val="single" w:sz="4" w:space="0" w:color="4BACC6" w:themeColor="accent5"/>
              <w:left w:val="dotted" w:sz="4" w:space="0" w:color="auto"/>
            </w:tcBorders>
            <w:shd w:val="clear" w:color="auto" w:fill="B8CCE4" w:themeFill="accent1" w:themeFillTint="66"/>
            <w:vAlign w:val="center"/>
          </w:tcPr>
          <w:p w:rsidR="001D10D6" w:rsidRDefault="0003747A">
            <w:pPr>
              <w:tabs>
                <w:tab w:val="clear" w:pos="1276"/>
              </w:tabs>
              <w:spacing w:before="0" w:beforeAutospacing="0" w:after="0" w:afterAutospacing="0" w:line="240" w:lineRule="auto"/>
              <w:ind w:right="142"/>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lang w:eastAsia="es-ES"/>
              </w:rPr>
            </w:pPr>
            <w:r>
              <w:rPr>
                <w:rFonts w:cs="Arial"/>
                <w:color w:val="auto"/>
                <w:sz w:val="20"/>
                <w:szCs w:val="20"/>
                <w:lang w:eastAsia="es-ES"/>
              </w:rPr>
              <w:t>Lugar de arquivo</w:t>
            </w:r>
          </w:p>
        </w:tc>
        <w:tc>
          <w:tcPr>
            <w:tcW w:w="1842" w:type="dxa"/>
            <w:vMerge w:val="restart"/>
            <w:tcBorders>
              <w:top w:val="single" w:sz="4" w:space="0" w:color="4BACC6" w:themeColor="accent5"/>
              <w:left w:val="dotted" w:sz="4" w:space="0" w:color="auto"/>
            </w:tcBorders>
            <w:shd w:val="clear" w:color="auto" w:fill="B8CCE4" w:themeFill="accent1" w:themeFillTint="66"/>
            <w:vAlign w:val="center"/>
          </w:tcPr>
          <w:p w:rsidR="001D10D6" w:rsidRDefault="0003747A">
            <w:pPr>
              <w:tabs>
                <w:tab w:val="clear" w:pos="1276"/>
              </w:tabs>
              <w:spacing w:before="0" w:beforeAutospacing="0" w:after="0" w:afterAutospacing="0" w:line="276" w:lineRule="auto"/>
              <w:ind w:right="142"/>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lang w:eastAsia="es-ES"/>
              </w:rPr>
            </w:pPr>
            <w:r>
              <w:rPr>
                <w:rFonts w:cs="Arial"/>
                <w:bCs w:val="0"/>
                <w:color w:val="auto"/>
                <w:sz w:val="20"/>
                <w:szCs w:val="20"/>
                <w:lang w:eastAsia="es-ES"/>
              </w:rPr>
              <w:t>Responsable da custodia</w:t>
            </w:r>
          </w:p>
          <w:p w:rsidR="001D10D6" w:rsidRDefault="0003747A">
            <w:pPr>
              <w:tabs>
                <w:tab w:val="clear" w:pos="1276"/>
              </w:tabs>
              <w:spacing w:before="0" w:beforeAutospacing="0" w:after="0" w:afterAutospacing="0" w:line="276" w:lineRule="auto"/>
              <w:ind w:right="142"/>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lang w:eastAsia="es-ES"/>
              </w:rPr>
            </w:pPr>
            <w:r>
              <w:rPr>
                <w:rFonts w:cs="Arial"/>
                <w:bCs w:val="0"/>
                <w:color w:val="auto"/>
                <w:sz w:val="20"/>
                <w:szCs w:val="20"/>
                <w:lang w:eastAsia="es-ES"/>
              </w:rPr>
              <w:t>(órgano/posto)</w:t>
            </w:r>
          </w:p>
        </w:tc>
        <w:tc>
          <w:tcPr>
            <w:tcW w:w="1134" w:type="dxa"/>
            <w:vMerge w:val="restart"/>
            <w:tcBorders>
              <w:top w:val="single" w:sz="4" w:space="0" w:color="4BACC6" w:themeColor="accent5"/>
              <w:left w:val="dotted" w:sz="4" w:space="0" w:color="auto"/>
              <w:right w:val="dotted" w:sz="4" w:space="0" w:color="auto"/>
            </w:tcBorders>
            <w:shd w:val="clear" w:color="auto" w:fill="B8CCE4" w:themeFill="accent1" w:themeFillTint="66"/>
            <w:vAlign w:val="center"/>
          </w:tcPr>
          <w:p w:rsidR="001D10D6" w:rsidRDefault="0003747A">
            <w:pPr>
              <w:tabs>
                <w:tab w:val="clear" w:pos="1276"/>
              </w:tabs>
              <w:spacing w:before="0" w:beforeAutospacing="0" w:after="0" w:afterAutospacing="0" w:line="276" w:lineRule="auto"/>
              <w:ind w:right="142"/>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lang w:eastAsia="es-ES"/>
              </w:rPr>
            </w:pPr>
            <w:r>
              <w:rPr>
                <w:rFonts w:cs="Arial"/>
                <w:bCs w:val="0"/>
                <w:color w:val="auto"/>
                <w:sz w:val="20"/>
                <w:szCs w:val="20"/>
                <w:lang w:eastAsia="es-ES"/>
              </w:rPr>
              <w:t>Duración</w:t>
            </w:r>
          </w:p>
        </w:tc>
      </w:tr>
      <w:tr w:rsidR="001D10D6" w:rsidTr="0003747A">
        <w:tc>
          <w:tcPr>
            <w:cnfStyle w:val="001000000000" w:firstRow="0" w:lastRow="0" w:firstColumn="1" w:lastColumn="0" w:oddVBand="0" w:evenVBand="0" w:oddHBand="0" w:evenHBand="0" w:firstRowFirstColumn="0" w:firstRowLastColumn="0" w:lastRowFirstColumn="0" w:lastRowLastColumn="0"/>
            <w:tcW w:w="1277" w:type="dxa"/>
            <w:tcBorders>
              <w:top w:val="nil"/>
              <w:left w:val="single" w:sz="4" w:space="0" w:color="4BACC6" w:themeColor="accent5"/>
              <w:bottom w:val="single" w:sz="4" w:space="0" w:color="4BACC6" w:themeColor="accent5"/>
              <w:right w:val="nil"/>
            </w:tcBorders>
            <w:shd w:val="clear" w:color="auto" w:fill="B8CCE4" w:themeFill="accent1" w:themeFillTint="66"/>
            <w:vAlign w:val="center"/>
          </w:tcPr>
          <w:p w:rsidR="001D10D6" w:rsidRDefault="0003747A">
            <w:pPr>
              <w:tabs>
                <w:tab w:val="clear" w:pos="1276"/>
              </w:tabs>
              <w:spacing w:before="0" w:beforeAutospacing="0" w:after="0" w:afterAutospacing="0" w:line="276" w:lineRule="auto"/>
              <w:ind w:right="142"/>
              <w:jc w:val="center"/>
              <w:rPr>
                <w:rFonts w:cs="Arial"/>
                <w:b w:val="0"/>
                <w:color w:val="auto"/>
                <w:sz w:val="20"/>
                <w:szCs w:val="20"/>
                <w:lang w:eastAsia="es-ES"/>
              </w:rPr>
            </w:pPr>
            <w:r>
              <w:rPr>
                <w:rFonts w:cs="Arial"/>
                <w:bCs w:val="0"/>
                <w:color w:val="auto"/>
                <w:sz w:val="20"/>
                <w:szCs w:val="20"/>
                <w:lang w:eastAsia="es-ES"/>
              </w:rPr>
              <w:t>Código</w:t>
            </w:r>
          </w:p>
        </w:tc>
        <w:tc>
          <w:tcPr>
            <w:tcW w:w="2409" w:type="dxa"/>
            <w:tcBorders>
              <w:top w:val="nil"/>
              <w:left w:val="dotted" w:sz="4" w:space="0" w:color="auto"/>
              <w:bottom w:val="single" w:sz="4" w:space="0" w:color="4BACC6" w:themeColor="accent5"/>
              <w:right w:val="nil"/>
            </w:tcBorders>
            <w:shd w:val="clear" w:color="auto" w:fill="B8CCE4" w:themeFill="accent1" w:themeFillTint="66"/>
            <w:vAlign w:val="center"/>
          </w:tcPr>
          <w:p w:rsidR="001D10D6" w:rsidRDefault="0003747A">
            <w:pPr>
              <w:tabs>
                <w:tab w:val="clear" w:pos="1276"/>
              </w:tabs>
              <w:spacing w:before="0" w:beforeAutospacing="0" w:after="0" w:afterAutospacing="0" w:line="276" w:lineRule="auto"/>
              <w:ind w:right="142"/>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s-ES"/>
              </w:rPr>
            </w:pPr>
            <w:r>
              <w:rPr>
                <w:rFonts w:cs="Arial"/>
                <w:b/>
                <w:color w:val="auto"/>
                <w:sz w:val="20"/>
                <w:szCs w:val="20"/>
                <w:lang w:eastAsia="es-ES"/>
              </w:rPr>
              <w:t>Denominación</w:t>
            </w:r>
          </w:p>
        </w:tc>
        <w:tc>
          <w:tcPr>
            <w:tcW w:w="1560" w:type="dxa"/>
            <w:vMerge/>
            <w:tcBorders>
              <w:left w:val="dotted" w:sz="4" w:space="0" w:color="auto"/>
              <w:bottom w:val="single" w:sz="4" w:space="0" w:color="4BACC6" w:themeColor="accent5"/>
              <w:right w:val="nil"/>
            </w:tcBorders>
            <w:shd w:val="clear" w:color="auto" w:fill="B8CCE4" w:themeFill="accent1" w:themeFillTint="66"/>
            <w:vAlign w:val="center"/>
          </w:tcPr>
          <w:p w:rsidR="001D10D6" w:rsidRDefault="001D10D6">
            <w:pPr>
              <w:tabs>
                <w:tab w:val="clear" w:pos="1276"/>
              </w:tabs>
              <w:spacing w:before="0" w:beforeAutospacing="0" w:after="0" w:afterAutospacing="0" w:line="276" w:lineRule="auto"/>
              <w:ind w:right="142"/>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s-ES"/>
              </w:rPr>
            </w:pPr>
          </w:p>
        </w:tc>
        <w:tc>
          <w:tcPr>
            <w:tcW w:w="1701" w:type="dxa"/>
            <w:vMerge/>
            <w:tcBorders>
              <w:left w:val="dotted" w:sz="4" w:space="0" w:color="auto"/>
              <w:bottom w:val="single" w:sz="4" w:space="0" w:color="4BACC6" w:themeColor="accent5"/>
              <w:right w:val="nil"/>
            </w:tcBorders>
            <w:shd w:val="clear" w:color="auto" w:fill="B8CCE4" w:themeFill="accent1" w:themeFillTint="66"/>
          </w:tcPr>
          <w:p w:rsidR="001D10D6" w:rsidRDefault="001D10D6">
            <w:pPr>
              <w:tabs>
                <w:tab w:val="clear" w:pos="1276"/>
              </w:tabs>
              <w:spacing w:before="0" w:beforeAutospacing="0" w:after="0" w:afterAutospacing="0" w:line="276" w:lineRule="auto"/>
              <w:ind w:right="142"/>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s-ES"/>
              </w:rPr>
            </w:pPr>
          </w:p>
        </w:tc>
        <w:tc>
          <w:tcPr>
            <w:tcW w:w="1842" w:type="dxa"/>
            <w:vMerge/>
            <w:tcBorders>
              <w:left w:val="dotted" w:sz="4" w:space="0" w:color="auto"/>
              <w:bottom w:val="single" w:sz="4" w:space="0" w:color="4BACC6" w:themeColor="accent5"/>
              <w:right w:val="nil"/>
            </w:tcBorders>
            <w:shd w:val="clear" w:color="auto" w:fill="B8CCE4" w:themeFill="accent1" w:themeFillTint="66"/>
            <w:vAlign w:val="center"/>
          </w:tcPr>
          <w:p w:rsidR="001D10D6" w:rsidRDefault="001D10D6">
            <w:pPr>
              <w:tabs>
                <w:tab w:val="clear" w:pos="1276"/>
              </w:tabs>
              <w:spacing w:before="0" w:beforeAutospacing="0" w:after="0" w:afterAutospacing="0" w:line="276" w:lineRule="auto"/>
              <w:ind w:right="142"/>
              <w:jc w:val="lef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s-ES"/>
              </w:rPr>
            </w:pPr>
          </w:p>
        </w:tc>
        <w:tc>
          <w:tcPr>
            <w:tcW w:w="1134" w:type="dxa"/>
            <w:vMerge/>
            <w:tcBorders>
              <w:left w:val="dotted" w:sz="4" w:space="0" w:color="auto"/>
              <w:bottom w:val="single" w:sz="4" w:space="0" w:color="4BACC6" w:themeColor="accent5"/>
              <w:right w:val="dotted" w:sz="4" w:space="0" w:color="auto"/>
            </w:tcBorders>
            <w:shd w:val="clear" w:color="auto" w:fill="B8CCE4" w:themeFill="accent1" w:themeFillTint="66"/>
          </w:tcPr>
          <w:p w:rsidR="001D10D6" w:rsidRDefault="001D10D6">
            <w:pPr>
              <w:tabs>
                <w:tab w:val="clear" w:pos="1276"/>
              </w:tabs>
              <w:spacing w:before="0" w:beforeAutospacing="0" w:after="0" w:afterAutospacing="0" w:line="276" w:lineRule="auto"/>
              <w:ind w:right="142"/>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s-ES"/>
              </w:rPr>
            </w:pPr>
          </w:p>
        </w:tc>
      </w:tr>
      <w:tr w:rsidR="001D10D6" w:rsidTr="0003747A">
        <w:trPr>
          <w:trHeight w:val="627"/>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4BACC6" w:themeColor="accent5"/>
              <w:bottom w:val="single" w:sz="4" w:space="0" w:color="4BACC6" w:themeColor="accent5"/>
              <w:right w:val="dotted" w:sz="4" w:space="0" w:color="4BACC6" w:themeColor="accent5"/>
            </w:tcBorders>
            <w:vAlign w:val="center"/>
          </w:tcPr>
          <w:p w:rsidR="001D10D6" w:rsidRDefault="0003747A">
            <w:pPr>
              <w:tabs>
                <w:tab w:val="clear" w:pos="1276"/>
              </w:tabs>
              <w:spacing w:before="0" w:beforeAutospacing="0" w:after="0" w:afterAutospacing="0" w:line="240" w:lineRule="auto"/>
              <w:ind w:right="142"/>
              <w:jc w:val="center"/>
              <w:rPr>
                <w:rFonts w:cs="Arial"/>
                <w:color w:val="auto"/>
                <w:sz w:val="20"/>
                <w:szCs w:val="20"/>
                <w:lang w:eastAsia="es-ES"/>
              </w:rPr>
            </w:pPr>
            <w:r>
              <w:rPr>
                <w:rFonts w:cs="Arial"/>
                <w:b w:val="0"/>
                <w:color w:val="auto"/>
                <w:sz w:val="20"/>
                <w:szCs w:val="20"/>
                <w:lang w:eastAsia="es-ES"/>
              </w:rPr>
              <w:t>R1 PE-02</w:t>
            </w:r>
          </w:p>
        </w:tc>
        <w:tc>
          <w:tcPr>
            <w:tcW w:w="2409"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s-ES"/>
              </w:rPr>
            </w:pPr>
            <w:r>
              <w:rPr>
                <w:rFonts w:cs="Arial"/>
                <w:bCs/>
                <w:color w:val="auto"/>
                <w:sz w:val="20"/>
                <w:szCs w:val="20"/>
                <w:lang w:eastAsia="es-ES"/>
              </w:rPr>
              <w:t>Informe de Resultados Institucionais</w:t>
            </w:r>
          </w:p>
        </w:tc>
        <w:tc>
          <w:tcPr>
            <w:tcW w:w="1560"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s-ES"/>
              </w:rPr>
            </w:pPr>
            <w:r>
              <w:rPr>
                <w:rFonts w:cs="Arial"/>
                <w:bCs/>
                <w:color w:val="auto"/>
                <w:sz w:val="20"/>
                <w:szCs w:val="20"/>
                <w:lang w:eastAsia="es-ES"/>
              </w:rPr>
              <w:t>Electrónico</w:t>
            </w:r>
          </w:p>
        </w:tc>
        <w:tc>
          <w:tcPr>
            <w:tcW w:w="1701"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s-ES"/>
              </w:rPr>
            </w:pPr>
            <w:r>
              <w:rPr>
                <w:rFonts w:cs="Arial"/>
                <w:bCs/>
                <w:color w:val="auto"/>
                <w:sz w:val="20"/>
                <w:szCs w:val="20"/>
                <w:lang w:eastAsia="es-ES"/>
              </w:rPr>
              <w:t>Aplicación do SGC-</w:t>
            </w:r>
          </w:p>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highlight w:val="yellow"/>
                <w:lang w:eastAsia="es-ES"/>
              </w:rPr>
            </w:pPr>
            <w:r>
              <w:rPr>
                <w:rFonts w:cs="Arial"/>
                <w:bCs/>
                <w:color w:val="auto"/>
                <w:sz w:val="20"/>
                <w:szCs w:val="20"/>
                <w:lang w:eastAsia="es-ES"/>
              </w:rPr>
              <w:t>Páxina web do centro</w:t>
            </w:r>
          </w:p>
        </w:tc>
        <w:tc>
          <w:tcPr>
            <w:tcW w:w="1842"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s-ES"/>
              </w:rPr>
            </w:pPr>
            <w:r>
              <w:rPr>
                <w:rFonts w:cs="Arial"/>
                <w:bCs/>
                <w:color w:val="auto"/>
                <w:sz w:val="20"/>
                <w:szCs w:val="20"/>
                <w:lang w:eastAsia="es-ES"/>
              </w:rPr>
              <w:t>Coordinador/a de Calidade do Centro</w:t>
            </w:r>
          </w:p>
        </w:tc>
        <w:tc>
          <w:tcPr>
            <w:tcW w:w="1134"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s-ES"/>
              </w:rPr>
            </w:pPr>
            <w:r>
              <w:rPr>
                <w:rFonts w:cs="Arial"/>
                <w:color w:val="auto"/>
                <w:sz w:val="20"/>
                <w:szCs w:val="20"/>
                <w:lang w:eastAsia="es-ES"/>
              </w:rPr>
              <w:t xml:space="preserve">6 anos </w:t>
            </w:r>
          </w:p>
        </w:tc>
      </w:tr>
      <w:tr w:rsidR="001D10D6" w:rsidTr="0003747A">
        <w:trPr>
          <w:trHeight w:val="425"/>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4BACC6" w:themeColor="accent5"/>
              <w:left w:val="single" w:sz="4" w:space="0" w:color="4BACC6" w:themeColor="accent5"/>
              <w:bottom w:val="single" w:sz="4" w:space="0" w:color="4BACC6" w:themeColor="accent5"/>
              <w:right w:val="nil"/>
            </w:tcBorders>
            <w:shd w:val="clear" w:color="auto" w:fill="D3DFEE" w:themeFill="accent1" w:themeFillTint="3F"/>
            <w:vAlign w:val="center"/>
          </w:tcPr>
          <w:p w:rsidR="001D10D6" w:rsidRDefault="0003747A">
            <w:pPr>
              <w:tabs>
                <w:tab w:val="clear" w:pos="1276"/>
              </w:tabs>
              <w:spacing w:before="0" w:beforeAutospacing="0" w:after="0" w:afterAutospacing="0" w:line="240" w:lineRule="auto"/>
              <w:ind w:right="142"/>
              <w:jc w:val="center"/>
              <w:rPr>
                <w:rFonts w:cs="Arial"/>
                <w:bCs w:val="0"/>
                <w:color w:val="auto"/>
                <w:sz w:val="20"/>
                <w:szCs w:val="20"/>
                <w:lang w:eastAsia="es-ES"/>
              </w:rPr>
            </w:pPr>
            <w:r>
              <w:rPr>
                <w:rFonts w:cs="Arial"/>
                <w:b w:val="0"/>
                <w:color w:val="auto"/>
                <w:sz w:val="20"/>
                <w:szCs w:val="20"/>
                <w:lang w:eastAsia="es-ES"/>
              </w:rPr>
              <w:t>R2 PE-02</w:t>
            </w:r>
          </w:p>
          <w:p w:rsidR="001D10D6" w:rsidRDefault="001D10D6">
            <w:pPr>
              <w:tabs>
                <w:tab w:val="clear" w:pos="1276"/>
              </w:tabs>
              <w:spacing w:before="0" w:beforeAutospacing="0" w:after="0" w:afterAutospacing="0" w:line="240" w:lineRule="auto"/>
              <w:ind w:right="142"/>
              <w:jc w:val="center"/>
              <w:rPr>
                <w:rFonts w:cs="Arial"/>
                <w:bCs w:val="0"/>
                <w:color w:val="auto"/>
                <w:sz w:val="20"/>
                <w:szCs w:val="20"/>
                <w:lang w:eastAsia="es-ES"/>
              </w:rPr>
            </w:pPr>
          </w:p>
        </w:tc>
        <w:tc>
          <w:tcPr>
            <w:tcW w:w="2409" w:type="dxa"/>
            <w:tcBorders>
              <w:top w:val="single" w:sz="4" w:space="0" w:color="4BACC6" w:themeColor="accent5"/>
              <w:left w:val="dotted" w:sz="4" w:space="0" w:color="4BACC6" w:themeColor="accent5"/>
              <w:bottom w:val="single" w:sz="4" w:space="0" w:color="4BACC6" w:themeColor="accent5"/>
              <w:right w:val="nil"/>
            </w:tcBorders>
            <w:shd w:val="clear" w:color="auto" w:fill="D3DFEE" w:themeFill="accent1" w:themeFillTint="3F"/>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Pr>
                <w:rFonts w:cs="Arial"/>
                <w:bCs/>
                <w:color w:val="auto"/>
                <w:sz w:val="20"/>
                <w:szCs w:val="20"/>
                <w:lang w:eastAsia="es-ES"/>
              </w:rPr>
              <w:t>Listaxe de accións formativas derivadas de necesidades detectadas</w:t>
            </w:r>
          </w:p>
        </w:tc>
        <w:tc>
          <w:tcPr>
            <w:tcW w:w="1560" w:type="dxa"/>
            <w:tcBorders>
              <w:top w:val="single" w:sz="4" w:space="0" w:color="4BACC6" w:themeColor="accent5"/>
              <w:left w:val="dotted" w:sz="4" w:space="0" w:color="4BACC6" w:themeColor="accent5"/>
              <w:bottom w:val="single" w:sz="4" w:space="0" w:color="4BACC6" w:themeColor="accent5"/>
              <w:right w:val="nil"/>
            </w:tcBorders>
            <w:shd w:val="clear" w:color="auto" w:fill="D3DFEE" w:themeFill="accent1" w:themeFillTint="3F"/>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Pr>
                <w:rFonts w:cs="Arial"/>
                <w:bCs/>
                <w:color w:val="auto"/>
                <w:sz w:val="20"/>
                <w:szCs w:val="20"/>
                <w:lang w:eastAsia="es-ES"/>
              </w:rPr>
              <w:t>Electrónico</w:t>
            </w:r>
          </w:p>
        </w:tc>
        <w:tc>
          <w:tcPr>
            <w:tcW w:w="1701" w:type="dxa"/>
            <w:tcBorders>
              <w:top w:val="single" w:sz="4" w:space="0" w:color="4BACC6" w:themeColor="accent5"/>
              <w:left w:val="dotted" w:sz="4" w:space="0" w:color="4BACC6" w:themeColor="accent5"/>
              <w:bottom w:val="single" w:sz="4" w:space="0" w:color="4BACC6" w:themeColor="accent5"/>
              <w:right w:val="nil"/>
            </w:tcBorders>
            <w:shd w:val="clear" w:color="auto" w:fill="D3DFEE" w:themeFill="accent1" w:themeFillTint="3F"/>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s-ES"/>
              </w:rPr>
            </w:pPr>
            <w:r>
              <w:rPr>
                <w:rFonts w:cs="Arial"/>
                <w:bCs/>
                <w:color w:val="auto"/>
                <w:sz w:val="20"/>
                <w:szCs w:val="20"/>
                <w:lang w:eastAsia="es-ES"/>
              </w:rPr>
              <w:t>Aplicación do SGC-</w:t>
            </w:r>
          </w:p>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Pr>
                <w:rFonts w:cs="Arial"/>
                <w:bCs/>
                <w:color w:val="auto"/>
                <w:sz w:val="20"/>
                <w:szCs w:val="20"/>
                <w:lang w:eastAsia="es-ES"/>
              </w:rPr>
              <w:t>Páxina web do centro</w:t>
            </w:r>
          </w:p>
        </w:tc>
        <w:tc>
          <w:tcPr>
            <w:tcW w:w="1842" w:type="dxa"/>
            <w:tcBorders>
              <w:top w:val="single" w:sz="4" w:space="0" w:color="4BACC6" w:themeColor="accent5"/>
              <w:left w:val="dotted" w:sz="4" w:space="0" w:color="4BACC6" w:themeColor="accent5"/>
              <w:bottom w:val="single" w:sz="4" w:space="0" w:color="4BACC6" w:themeColor="accent5"/>
              <w:right w:val="nil"/>
            </w:tcBorders>
            <w:shd w:val="clear" w:color="auto" w:fill="D3DFEE" w:themeFill="accent1" w:themeFillTint="3F"/>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bCs/>
                <w:sz w:val="20"/>
                <w:szCs w:val="20"/>
                <w:lang w:eastAsia="es-ES"/>
              </w:rPr>
            </w:pPr>
            <w:r>
              <w:rPr>
                <w:rFonts w:cs="Arial"/>
                <w:bCs/>
                <w:color w:val="auto"/>
                <w:sz w:val="20"/>
                <w:szCs w:val="20"/>
                <w:lang w:eastAsia="es-ES"/>
              </w:rPr>
              <w:t>Coordinador/a de Calidade do Centro</w:t>
            </w:r>
          </w:p>
        </w:tc>
        <w:tc>
          <w:tcPr>
            <w:tcW w:w="1134" w:type="dxa"/>
            <w:tcBorders>
              <w:top w:val="single" w:sz="4" w:space="0" w:color="4BACC6" w:themeColor="accent5"/>
              <w:left w:val="dotted" w:sz="4" w:space="0" w:color="4BACC6" w:themeColor="accent5"/>
              <w:bottom w:val="single" w:sz="4" w:space="0" w:color="4BACC6" w:themeColor="accent5"/>
              <w:right w:val="single" w:sz="4" w:space="0" w:color="4BACC6" w:themeColor="accent5"/>
            </w:tcBorders>
            <w:shd w:val="clear" w:color="auto" w:fill="D3DFEE" w:themeFill="accent1" w:themeFillTint="3F"/>
            <w:vAlign w:val="center"/>
          </w:tcPr>
          <w:p w:rsidR="001D10D6" w:rsidRDefault="0003747A">
            <w:pPr>
              <w:tabs>
                <w:tab w:val="clear" w:pos="1276"/>
              </w:tabs>
              <w:spacing w:before="0" w:beforeAutospacing="0" w:after="0" w:afterAutospacing="0" w:line="240" w:lineRule="auto"/>
              <w:ind w:right="142"/>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s-ES"/>
              </w:rPr>
            </w:pPr>
            <w:r>
              <w:rPr>
                <w:rFonts w:cs="Arial"/>
                <w:color w:val="auto"/>
                <w:sz w:val="20"/>
                <w:szCs w:val="20"/>
                <w:lang w:eastAsia="es-ES"/>
              </w:rPr>
              <w:t xml:space="preserve">6 anos </w:t>
            </w:r>
          </w:p>
        </w:tc>
      </w:tr>
    </w:tbl>
    <w:p w:rsidR="001D10D6" w:rsidRDefault="001D10D6"/>
    <w:p w:rsidR="001D10D6" w:rsidRDefault="001D10D6">
      <w:pPr>
        <w:rPr>
          <w:lang w:eastAsia="fr-FR"/>
        </w:rPr>
      </w:pPr>
    </w:p>
    <w:sectPr w:rsidR="001D10D6" w:rsidSect="00C06A1F">
      <w:headerReference w:type="even" r:id="rId18"/>
      <w:headerReference w:type="default" r:id="rId19"/>
      <w:footerReference w:type="default" r:id="rId20"/>
      <w:headerReference w:type="first" r:id="rId21"/>
      <w:pgSz w:w="11906" w:h="16838"/>
      <w:pgMar w:top="1383" w:right="991" w:bottom="1843" w:left="1276"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0D6" w:rsidRDefault="0003747A">
      <w:pPr>
        <w:spacing w:line="240" w:lineRule="auto"/>
      </w:pPr>
      <w:r>
        <w:separator/>
      </w:r>
    </w:p>
  </w:endnote>
  <w:endnote w:type="continuationSeparator" w:id="0">
    <w:p w:rsidR="001D10D6" w:rsidRDefault="00037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New Baskerville">
    <w:panose1 w:val="02020602060200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TC New Baskerville Std">
    <w:altName w:val="Baskerville Old Face"/>
    <w:panose1 w:val="02020602060506020304"/>
    <w:charset w:val="00"/>
    <w:family w:val="roman"/>
    <w:notTrueType/>
    <w:pitch w:val="variable"/>
    <w:sig w:usb0="800000AF" w:usb1="5000204A" w:usb2="00000000" w:usb3="00000000" w:csb0="00000001" w:csb1="00000000"/>
  </w:font>
  <w:font w:name="Arial Unicode MS">
    <w:altName w:val="Malgun Gothic Semilight"/>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0" w:tblpY="96"/>
      <w:tblW w:w="10881" w:type="dxa"/>
      <w:tblBorders>
        <w:top w:val="single" w:sz="2" w:space="0" w:color="auto"/>
      </w:tblBorders>
      <w:tblLayout w:type="fixed"/>
      <w:tblLook w:val="04A0" w:firstRow="1" w:lastRow="0" w:firstColumn="1" w:lastColumn="0" w:noHBand="0" w:noVBand="1"/>
    </w:tblPr>
    <w:tblGrid>
      <w:gridCol w:w="5495"/>
      <w:gridCol w:w="1984"/>
      <w:gridCol w:w="1985"/>
      <w:gridCol w:w="1417"/>
    </w:tblGrid>
    <w:tr w:rsidR="001D10D6">
      <w:trPr>
        <w:trHeight w:val="988"/>
      </w:trPr>
      <w:tc>
        <w:tcPr>
          <w:tcW w:w="5495" w:type="dxa"/>
          <w:shd w:val="clear" w:color="auto" w:fill="auto"/>
        </w:tcPr>
        <w:p w:rsidR="001D10D6" w:rsidRDefault="0003747A">
          <w:pPr>
            <w:pStyle w:val="logo"/>
            <w:framePr w:hSpace="0" w:wrap="auto" w:vAnchor="margin" w:hAnchor="text" w:xAlign="left" w:yAlign="inline"/>
          </w:pPr>
          <w:r>
            <w:rPr>
              <w:noProof/>
              <w:lang w:eastAsia="gl-ES"/>
            </w:rPr>
            <w:drawing>
              <wp:inline distT="0" distB="0" distL="0" distR="0">
                <wp:extent cx="2468880" cy="436880"/>
                <wp:effectExtent l="25400" t="0" r="0" b="0"/>
                <wp:docPr id="1" name="Imagen 1" descr="logo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300-01"/>
                        <pic:cNvPicPr>
                          <a:picLocks noChangeAspect="1" noChangeArrowheads="1"/>
                        </pic:cNvPicPr>
                      </pic:nvPicPr>
                      <pic:blipFill>
                        <a:blip r:embed="rId1"/>
                        <a:srcRect/>
                        <a:stretch>
                          <a:fillRect/>
                        </a:stretch>
                      </pic:blipFill>
                      <pic:spPr>
                        <a:xfrm>
                          <a:off x="0" y="0"/>
                          <a:ext cx="2468880" cy="436880"/>
                        </a:xfrm>
                        <a:prstGeom prst="rect">
                          <a:avLst/>
                        </a:prstGeom>
                        <a:noFill/>
                        <a:ln w="9525">
                          <a:noFill/>
                          <a:miter lim="800000"/>
                          <a:headEnd/>
                          <a:tailEnd/>
                        </a:ln>
                      </pic:spPr>
                    </pic:pic>
                  </a:graphicData>
                </a:graphic>
              </wp:inline>
            </w:drawing>
          </w:r>
        </w:p>
      </w:tc>
      <w:tc>
        <w:tcPr>
          <w:tcW w:w="1984" w:type="dxa"/>
          <w:tcBorders>
            <w:top w:val="single" w:sz="2" w:space="0" w:color="auto"/>
            <w:bottom w:val="single" w:sz="2" w:space="0" w:color="auto"/>
          </w:tcBorders>
        </w:tcPr>
        <w:p w:rsidR="001D10D6" w:rsidRDefault="0003747A">
          <w:pPr>
            <w:pStyle w:val="AreaCalidade"/>
            <w:rPr>
              <w:color w:val="E1752A"/>
            </w:rPr>
          </w:pPr>
          <w:r>
            <w:rPr>
              <w:rFonts w:eastAsia="Cambria"/>
            </w:rPr>
            <w:t>Área de Calidade</w:t>
          </w:r>
        </w:p>
      </w:tc>
      <w:tc>
        <w:tcPr>
          <w:tcW w:w="1985" w:type="dxa"/>
          <w:tcBorders>
            <w:top w:val="single" w:sz="2" w:space="0" w:color="auto"/>
            <w:bottom w:val="single" w:sz="2" w:space="0" w:color="auto"/>
          </w:tcBorders>
          <w:tcMar>
            <w:top w:w="57" w:type="dxa"/>
          </w:tcMar>
        </w:tcPr>
        <w:p w:rsidR="001D10D6" w:rsidRDefault="0003747A">
          <w:pPr>
            <w:pStyle w:val="Enderezo"/>
            <w:framePr w:hSpace="0" w:wrap="auto" w:vAnchor="margin" w:hAnchor="text" w:xAlign="left" w:yAlign="inline"/>
          </w:pPr>
          <w:r>
            <w:t>Edificio Ernestina Otero</w:t>
          </w:r>
        </w:p>
        <w:p w:rsidR="001D10D6" w:rsidRDefault="0003747A">
          <w:pPr>
            <w:pStyle w:val="Enderezo"/>
            <w:framePr w:hSpace="0" w:wrap="auto" w:vAnchor="margin" w:hAnchor="text" w:xAlign="left" w:yAlign="inline"/>
          </w:pPr>
          <w:proofErr w:type="spellStart"/>
          <w:r>
            <w:t>3.</w:t>
          </w:r>
          <w:r>
            <w:rPr>
              <w:vertAlign w:val="superscript"/>
            </w:rPr>
            <w:t>o</w:t>
          </w:r>
          <w:proofErr w:type="spellEnd"/>
          <w:r>
            <w:t xml:space="preserve"> andar                </w:t>
          </w:r>
        </w:p>
        <w:p w:rsidR="001D10D6" w:rsidRDefault="0003747A">
          <w:pPr>
            <w:pStyle w:val="Enderezo"/>
            <w:framePr w:hSpace="0" w:wrap="auto" w:vAnchor="margin" w:hAnchor="text" w:xAlign="left" w:yAlign="inline"/>
          </w:pPr>
          <w:r>
            <w:t>Campus universitario</w:t>
          </w:r>
          <w:r>
            <w:br/>
            <w:t>36310 Vigo</w:t>
          </w:r>
          <w:r>
            <w:br/>
            <w:t>España</w:t>
          </w:r>
        </w:p>
      </w:tc>
      <w:tc>
        <w:tcPr>
          <w:tcW w:w="1417" w:type="dxa"/>
          <w:tcBorders>
            <w:top w:val="single" w:sz="2" w:space="0" w:color="auto"/>
            <w:bottom w:val="single" w:sz="2" w:space="0" w:color="auto"/>
          </w:tcBorders>
          <w:tcMar>
            <w:top w:w="57" w:type="dxa"/>
          </w:tcMar>
        </w:tcPr>
        <w:p w:rsidR="001D10D6" w:rsidRDefault="0003747A">
          <w:pPr>
            <w:pStyle w:val="Enderezocomprimido"/>
            <w:framePr w:hSpace="0" w:wrap="auto" w:vAnchor="margin" w:hAnchor="text" w:xAlign="left" w:yAlign="inline"/>
            <w:rPr>
              <w:spacing w:val="0"/>
            </w:rPr>
          </w:pPr>
          <w:proofErr w:type="spellStart"/>
          <w:r>
            <w:t>Tel</w:t>
          </w:r>
          <w:proofErr w:type="spellEnd"/>
          <w:r>
            <w:t>.: 986 813 897</w:t>
          </w:r>
          <w:r>
            <w:br/>
          </w:r>
          <w:r>
            <w:rPr>
              <w:spacing w:val="0"/>
            </w:rPr>
            <w:t>uvigo.gal/universidade/calidade</w:t>
          </w:r>
        </w:p>
        <w:p w:rsidR="001D10D6" w:rsidRDefault="001D10D6">
          <w:pPr>
            <w:pStyle w:val="Enderezocomprimido"/>
            <w:framePr w:hSpace="0" w:wrap="auto" w:vAnchor="margin" w:hAnchor="text" w:xAlign="left" w:yAlign="inline"/>
          </w:pPr>
        </w:p>
      </w:tc>
    </w:tr>
  </w:tbl>
  <w:p w:rsidR="001D10D6" w:rsidRDefault="001D10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0" w:tblpY="96"/>
      <w:tblW w:w="10740" w:type="dxa"/>
      <w:tblBorders>
        <w:top w:val="single" w:sz="2" w:space="0" w:color="auto"/>
      </w:tblBorders>
      <w:tblLayout w:type="fixed"/>
      <w:tblLook w:val="04A0" w:firstRow="1" w:lastRow="0" w:firstColumn="1" w:lastColumn="0" w:noHBand="0" w:noVBand="1"/>
    </w:tblPr>
    <w:tblGrid>
      <w:gridCol w:w="8755"/>
      <w:gridCol w:w="1985"/>
    </w:tblGrid>
    <w:tr w:rsidR="001D10D6">
      <w:trPr>
        <w:trHeight w:val="708"/>
      </w:trPr>
      <w:tc>
        <w:tcPr>
          <w:tcW w:w="8755" w:type="dxa"/>
          <w:shd w:val="clear" w:color="auto" w:fill="auto"/>
          <w:vAlign w:val="center"/>
        </w:tcPr>
        <w:p w:rsidR="001D10D6" w:rsidRDefault="0003747A">
          <w:pPr>
            <w:pStyle w:val="logo"/>
            <w:framePr w:hSpace="0" w:wrap="auto" w:vAnchor="margin" w:hAnchor="text" w:xAlign="left" w:yAlign="inline"/>
          </w:pPr>
          <w:r>
            <w:rPr>
              <w:noProof/>
              <w:lang w:eastAsia="gl-ES"/>
            </w:rPr>
            <w:drawing>
              <wp:inline distT="0" distB="0" distL="0" distR="0">
                <wp:extent cx="2468880" cy="436880"/>
                <wp:effectExtent l="25400" t="0" r="0" b="0"/>
                <wp:docPr id="3" name="Imagen 3" descr="logo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300-01"/>
                        <pic:cNvPicPr>
                          <a:picLocks noChangeAspect="1" noChangeArrowheads="1"/>
                        </pic:cNvPicPr>
                      </pic:nvPicPr>
                      <pic:blipFill>
                        <a:blip r:embed="rId1"/>
                        <a:srcRect/>
                        <a:stretch>
                          <a:fillRect/>
                        </a:stretch>
                      </pic:blipFill>
                      <pic:spPr>
                        <a:xfrm>
                          <a:off x="0" y="0"/>
                          <a:ext cx="2468880" cy="436880"/>
                        </a:xfrm>
                        <a:prstGeom prst="rect">
                          <a:avLst/>
                        </a:prstGeom>
                        <a:noFill/>
                        <a:ln w="9525">
                          <a:noFill/>
                          <a:miter lim="800000"/>
                          <a:headEnd/>
                          <a:tailEnd/>
                        </a:ln>
                      </pic:spPr>
                    </pic:pic>
                  </a:graphicData>
                </a:graphic>
              </wp:inline>
            </w:drawing>
          </w:r>
        </w:p>
      </w:tc>
      <w:tc>
        <w:tcPr>
          <w:tcW w:w="1985" w:type="dxa"/>
          <w:tcMar>
            <w:top w:w="57" w:type="dxa"/>
          </w:tcMar>
        </w:tcPr>
        <w:p w:rsidR="001D10D6" w:rsidRDefault="0003747A">
          <w:pPr>
            <w:pStyle w:val="AreaCalidade"/>
            <w:jc w:val="left"/>
            <w:rPr>
              <w:color w:val="E1752A"/>
            </w:rPr>
          </w:pPr>
          <w:r>
            <w:rPr>
              <w:rFonts w:eastAsia="Cambria"/>
            </w:rPr>
            <w:t>Área de Calidade</w:t>
          </w:r>
        </w:p>
      </w:tc>
    </w:tr>
  </w:tbl>
  <w:p w:rsidR="001D10D6" w:rsidRDefault="0003747A">
    <w:pPr>
      <w:rPr>
        <w:b/>
        <w:color w:val="00B0F0"/>
        <w:lang w:val="es-ES" w:eastAsia="es-ES"/>
      </w:rPr>
    </w:pPr>
    <w:r>
      <w:rPr>
        <w:lang w:val="es-ES" w:eastAsia="es-ES"/>
      </w:rPr>
      <w:tab/>
    </w:r>
    <w:r>
      <w:rPr>
        <w:rFonts w:cstheme="minorHAnsi"/>
        <w:sz w:val="16"/>
        <w:szCs w:val="16"/>
        <w:lang w:val="es-ES" w:eastAsia="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0D6" w:rsidRDefault="0003747A">
      <w:pPr>
        <w:spacing w:before="0" w:after="0"/>
      </w:pPr>
      <w:r>
        <w:separator/>
      </w:r>
    </w:p>
  </w:footnote>
  <w:footnote w:type="continuationSeparator" w:id="0">
    <w:p w:rsidR="001D10D6" w:rsidRDefault="0003747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0D6" w:rsidRDefault="0003747A">
    <w:pPr>
      <w:pStyle w:val="Ttulo3"/>
      <w:rPr>
        <w:lang w:val="es-ES"/>
      </w:rPr>
    </w:pPr>
    <w:r>
      <w:rPr>
        <w:lang w:val="es-ES"/>
      </w:rPr>
      <w:tab/>
    </w:r>
    <w:r>
      <w:rPr>
        <w:lang w:val="es-ES"/>
      </w:rPr>
      <w:tab/>
    </w:r>
    <w:r>
      <w:rPr>
        <w:lang w:val="es-ES"/>
      </w:rPr>
      <w:tab/>
    </w:r>
    <w:r>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0D6" w:rsidRDefault="001D10D6">
    <w:pPr>
      <w:pStyle w:val="Encabezado"/>
    </w:pPr>
  </w:p>
  <w:p w:rsidR="001D10D6" w:rsidRDefault="001D10D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0D6" w:rsidRPr="0003747A" w:rsidRDefault="0003747A" w:rsidP="00846952">
    <w:pPr>
      <w:pStyle w:val="Encabezado"/>
      <w:tabs>
        <w:tab w:val="clear" w:pos="1276"/>
        <w:tab w:val="clear" w:pos="4252"/>
        <w:tab w:val="clear" w:pos="8504"/>
        <w:tab w:val="left" w:pos="8222"/>
      </w:tabs>
      <w:rPr>
        <w:sz w:val="20"/>
      </w:rPr>
    </w:pPr>
    <w:r w:rsidRPr="0003747A">
      <w:rPr>
        <w:sz w:val="20"/>
      </w:rPr>
      <w:t xml:space="preserve">Procedemento de Persoal Docente e Investigador - PDI                                     PE-02  </w:t>
    </w:r>
    <w:r w:rsidRPr="0003747A">
      <w:rPr>
        <w:sz w:val="20"/>
      </w:rPr>
      <w:tab/>
      <w:t xml:space="preserve">Páxina </w:t>
    </w:r>
    <w:r w:rsidRPr="0003747A">
      <w:rPr>
        <w:sz w:val="20"/>
      </w:rPr>
      <w:fldChar w:fldCharType="begin"/>
    </w:r>
    <w:r w:rsidRPr="0003747A">
      <w:rPr>
        <w:sz w:val="20"/>
      </w:rPr>
      <w:instrText xml:space="preserve"> PAGE   \* MERGEFORMAT </w:instrText>
    </w:r>
    <w:r w:rsidRPr="0003747A">
      <w:rPr>
        <w:sz w:val="20"/>
      </w:rPr>
      <w:fldChar w:fldCharType="separate"/>
    </w:r>
    <w:r w:rsidR="00846952">
      <w:rPr>
        <w:noProof/>
        <w:sz w:val="20"/>
      </w:rPr>
      <w:t>14</w:t>
    </w:r>
    <w:r w:rsidRPr="0003747A">
      <w:rPr>
        <w:sz w:val="20"/>
      </w:rPr>
      <w:fldChar w:fldCharType="end"/>
    </w:r>
    <w:r w:rsidRPr="0003747A">
      <w:rPr>
        <w:sz w:val="20"/>
      </w:rPr>
      <w:t xml:space="preserve"> de </w:t>
    </w:r>
    <w:r w:rsidRPr="0003747A">
      <w:rPr>
        <w:sz w:val="20"/>
      </w:rPr>
      <w:fldChar w:fldCharType="begin"/>
    </w:r>
    <w:r w:rsidRPr="0003747A">
      <w:rPr>
        <w:sz w:val="20"/>
      </w:rPr>
      <w:instrText xml:space="preserve"> NUMPAGES   \* MERGEFORMAT </w:instrText>
    </w:r>
    <w:r w:rsidRPr="0003747A">
      <w:rPr>
        <w:sz w:val="20"/>
      </w:rPr>
      <w:fldChar w:fldCharType="separate"/>
    </w:r>
    <w:r w:rsidR="00846952">
      <w:rPr>
        <w:noProof/>
        <w:sz w:val="20"/>
      </w:rPr>
      <w:t>14</w:t>
    </w:r>
    <w:r w:rsidRPr="0003747A">
      <w:rPr>
        <w:sz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0D6" w:rsidRDefault="001D10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62B3"/>
    <w:multiLevelType w:val="multilevel"/>
    <w:tmpl w:val="086962B3"/>
    <w:lvl w:ilvl="0">
      <w:start w:val="1"/>
      <w:numFmt w:val="decimal"/>
      <w:pStyle w:val="Estilo5"/>
      <w:lvlText w:val="III.%1."/>
      <w:lvlJc w:val="left"/>
      <w:pPr>
        <w:ind w:left="3060" w:hanging="360"/>
      </w:pPr>
      <w:rPr>
        <w:rFonts w:eastAsiaTheme="minorHAnsi" w:cstheme="minorBidi" w:hint="default"/>
        <w:i w:val="0"/>
        <w:sz w:val="24"/>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 w15:restartNumberingAfterBreak="0">
    <w:nsid w:val="14F7074E"/>
    <w:multiLevelType w:val="multilevel"/>
    <w:tmpl w:val="14F7074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3C23260"/>
    <w:multiLevelType w:val="multilevel"/>
    <w:tmpl w:val="43C232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51CF2BBD"/>
    <w:multiLevelType w:val="multilevel"/>
    <w:tmpl w:val="51CF2BBD"/>
    <w:lvl w:ilvl="0">
      <w:start w:val="1"/>
      <w:numFmt w:val="decimal"/>
      <w:lvlText w:val="III.%1."/>
      <w:lvlJc w:val="left"/>
      <w:pPr>
        <w:ind w:left="720" w:hanging="360"/>
      </w:pPr>
      <w:rPr>
        <w:rFonts w:eastAsiaTheme="minorHAnsi" w:cstheme="minorBidi" w:hint="default"/>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4C08D5"/>
    <w:multiLevelType w:val="multilevel"/>
    <w:tmpl w:val="6B4C08D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71244491"/>
    <w:multiLevelType w:val="multilevel"/>
    <w:tmpl w:val="71244491"/>
    <w:lvl w:ilvl="0">
      <w:start w:val="1"/>
      <w:numFmt w:val="decimal"/>
      <w:lvlText w:val="IV.%1."/>
      <w:lvlJc w:val="left"/>
      <w:pPr>
        <w:ind w:left="720" w:hanging="360"/>
      </w:pPr>
      <w:rPr>
        <w:rFonts w:eastAsiaTheme="minorHAnsi" w:cstheme="minorBidi" w:hint="default"/>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53E"/>
    <w:rsid w:val="000001A3"/>
    <w:rsid w:val="0000030D"/>
    <w:rsid w:val="0000155F"/>
    <w:rsid w:val="00002E0C"/>
    <w:rsid w:val="00003043"/>
    <w:rsid w:val="000116F8"/>
    <w:rsid w:val="00011C20"/>
    <w:rsid w:val="000123F3"/>
    <w:rsid w:val="000124BD"/>
    <w:rsid w:val="00020B7C"/>
    <w:rsid w:val="00021DF7"/>
    <w:rsid w:val="0002599C"/>
    <w:rsid w:val="00025ACB"/>
    <w:rsid w:val="000264C5"/>
    <w:rsid w:val="000271B1"/>
    <w:rsid w:val="000274FB"/>
    <w:rsid w:val="00027F13"/>
    <w:rsid w:val="00030C0A"/>
    <w:rsid w:val="00033EE8"/>
    <w:rsid w:val="0003412F"/>
    <w:rsid w:val="000344C7"/>
    <w:rsid w:val="000344F3"/>
    <w:rsid w:val="00034602"/>
    <w:rsid w:val="00035778"/>
    <w:rsid w:val="00036BD3"/>
    <w:rsid w:val="0003747A"/>
    <w:rsid w:val="000408A6"/>
    <w:rsid w:val="00040A58"/>
    <w:rsid w:val="0004173C"/>
    <w:rsid w:val="00042575"/>
    <w:rsid w:val="00042979"/>
    <w:rsid w:val="000456AE"/>
    <w:rsid w:val="00045EC2"/>
    <w:rsid w:val="00047F1A"/>
    <w:rsid w:val="000508D8"/>
    <w:rsid w:val="00050B2D"/>
    <w:rsid w:val="00052879"/>
    <w:rsid w:val="00053424"/>
    <w:rsid w:val="0005629E"/>
    <w:rsid w:val="000576D6"/>
    <w:rsid w:val="00062EFE"/>
    <w:rsid w:val="00065166"/>
    <w:rsid w:val="00065A52"/>
    <w:rsid w:val="00065D1C"/>
    <w:rsid w:val="00067BD8"/>
    <w:rsid w:val="00067C98"/>
    <w:rsid w:val="00070D07"/>
    <w:rsid w:val="0007228C"/>
    <w:rsid w:val="00072916"/>
    <w:rsid w:val="00073934"/>
    <w:rsid w:val="0007448C"/>
    <w:rsid w:val="0007562F"/>
    <w:rsid w:val="00075966"/>
    <w:rsid w:val="00076982"/>
    <w:rsid w:val="000845D1"/>
    <w:rsid w:val="000846D5"/>
    <w:rsid w:val="00086B69"/>
    <w:rsid w:val="000874E8"/>
    <w:rsid w:val="000878B8"/>
    <w:rsid w:val="000913FE"/>
    <w:rsid w:val="0009151A"/>
    <w:rsid w:val="00091BA8"/>
    <w:rsid w:val="00092B72"/>
    <w:rsid w:val="000933A2"/>
    <w:rsid w:val="00093517"/>
    <w:rsid w:val="00094E2D"/>
    <w:rsid w:val="000960D5"/>
    <w:rsid w:val="0009641B"/>
    <w:rsid w:val="00096CA4"/>
    <w:rsid w:val="000A1819"/>
    <w:rsid w:val="000A3767"/>
    <w:rsid w:val="000A3B76"/>
    <w:rsid w:val="000A5B82"/>
    <w:rsid w:val="000A66BA"/>
    <w:rsid w:val="000A66FB"/>
    <w:rsid w:val="000A764A"/>
    <w:rsid w:val="000B09DC"/>
    <w:rsid w:val="000B3F1B"/>
    <w:rsid w:val="000B4D61"/>
    <w:rsid w:val="000B4EAC"/>
    <w:rsid w:val="000B7446"/>
    <w:rsid w:val="000B7DD2"/>
    <w:rsid w:val="000C0D32"/>
    <w:rsid w:val="000C3069"/>
    <w:rsid w:val="000C3FD4"/>
    <w:rsid w:val="000C4D1E"/>
    <w:rsid w:val="000D2BCC"/>
    <w:rsid w:val="000D332A"/>
    <w:rsid w:val="000D6BC2"/>
    <w:rsid w:val="000D71D8"/>
    <w:rsid w:val="000D7731"/>
    <w:rsid w:val="000E03E7"/>
    <w:rsid w:val="000E043E"/>
    <w:rsid w:val="000E2C12"/>
    <w:rsid w:val="000E4C27"/>
    <w:rsid w:val="000E50E0"/>
    <w:rsid w:val="000E5194"/>
    <w:rsid w:val="000E62D1"/>
    <w:rsid w:val="000F106E"/>
    <w:rsid w:val="000F1087"/>
    <w:rsid w:val="000F13B3"/>
    <w:rsid w:val="000F161F"/>
    <w:rsid w:val="000F19D6"/>
    <w:rsid w:val="000F72EF"/>
    <w:rsid w:val="000F74CC"/>
    <w:rsid w:val="00100A8B"/>
    <w:rsid w:val="00101451"/>
    <w:rsid w:val="0010225C"/>
    <w:rsid w:val="001052E4"/>
    <w:rsid w:val="00106266"/>
    <w:rsid w:val="00106E8B"/>
    <w:rsid w:val="001127E1"/>
    <w:rsid w:val="00112B99"/>
    <w:rsid w:val="00112DDF"/>
    <w:rsid w:val="00112F70"/>
    <w:rsid w:val="00113931"/>
    <w:rsid w:val="001147C1"/>
    <w:rsid w:val="00115A66"/>
    <w:rsid w:val="00116CB2"/>
    <w:rsid w:val="00117A11"/>
    <w:rsid w:val="00117CD0"/>
    <w:rsid w:val="00122845"/>
    <w:rsid w:val="001238C3"/>
    <w:rsid w:val="001259BC"/>
    <w:rsid w:val="00125EA5"/>
    <w:rsid w:val="00126507"/>
    <w:rsid w:val="0012774A"/>
    <w:rsid w:val="00132BA6"/>
    <w:rsid w:val="00134292"/>
    <w:rsid w:val="001361F9"/>
    <w:rsid w:val="00136C43"/>
    <w:rsid w:val="00141C05"/>
    <w:rsid w:val="00142746"/>
    <w:rsid w:val="00142783"/>
    <w:rsid w:val="00143135"/>
    <w:rsid w:val="001435AA"/>
    <w:rsid w:val="001459FC"/>
    <w:rsid w:val="001467DF"/>
    <w:rsid w:val="00146A37"/>
    <w:rsid w:val="00147643"/>
    <w:rsid w:val="00155B8A"/>
    <w:rsid w:val="0015721B"/>
    <w:rsid w:val="00157A63"/>
    <w:rsid w:val="00160A33"/>
    <w:rsid w:val="00160BBB"/>
    <w:rsid w:val="00161DF5"/>
    <w:rsid w:val="00162986"/>
    <w:rsid w:val="00163CB3"/>
    <w:rsid w:val="00165EC2"/>
    <w:rsid w:val="0016625B"/>
    <w:rsid w:val="00166A23"/>
    <w:rsid w:val="00167E21"/>
    <w:rsid w:val="00170851"/>
    <w:rsid w:val="00172DF3"/>
    <w:rsid w:val="0017356A"/>
    <w:rsid w:val="001740B4"/>
    <w:rsid w:val="00175D24"/>
    <w:rsid w:val="00176A17"/>
    <w:rsid w:val="00177CB6"/>
    <w:rsid w:val="00183D15"/>
    <w:rsid w:val="00184C2C"/>
    <w:rsid w:val="00184FD3"/>
    <w:rsid w:val="00185821"/>
    <w:rsid w:val="00187D84"/>
    <w:rsid w:val="00190478"/>
    <w:rsid w:val="00190AC1"/>
    <w:rsid w:val="0019198E"/>
    <w:rsid w:val="00191DCE"/>
    <w:rsid w:val="001927D3"/>
    <w:rsid w:val="001962C7"/>
    <w:rsid w:val="00196461"/>
    <w:rsid w:val="001A0B69"/>
    <w:rsid w:val="001A20C7"/>
    <w:rsid w:val="001A3FCD"/>
    <w:rsid w:val="001A70B1"/>
    <w:rsid w:val="001A7BDA"/>
    <w:rsid w:val="001B387E"/>
    <w:rsid w:val="001B5517"/>
    <w:rsid w:val="001B6264"/>
    <w:rsid w:val="001B781B"/>
    <w:rsid w:val="001C0533"/>
    <w:rsid w:val="001C1447"/>
    <w:rsid w:val="001C1C04"/>
    <w:rsid w:val="001C47C8"/>
    <w:rsid w:val="001C546B"/>
    <w:rsid w:val="001C6138"/>
    <w:rsid w:val="001C773E"/>
    <w:rsid w:val="001C7E86"/>
    <w:rsid w:val="001D0990"/>
    <w:rsid w:val="001D10D6"/>
    <w:rsid w:val="001D1A9B"/>
    <w:rsid w:val="001D21F8"/>
    <w:rsid w:val="001D2725"/>
    <w:rsid w:val="001D53FC"/>
    <w:rsid w:val="001D53FD"/>
    <w:rsid w:val="001D61C5"/>
    <w:rsid w:val="001D7C03"/>
    <w:rsid w:val="001E3938"/>
    <w:rsid w:val="001E400A"/>
    <w:rsid w:val="001E44DE"/>
    <w:rsid w:val="001E7539"/>
    <w:rsid w:val="001F0CEE"/>
    <w:rsid w:val="001F1E03"/>
    <w:rsid w:val="001F23EA"/>
    <w:rsid w:val="001F26DA"/>
    <w:rsid w:val="001F26F5"/>
    <w:rsid w:val="001F5A38"/>
    <w:rsid w:val="001F60C5"/>
    <w:rsid w:val="00200B6D"/>
    <w:rsid w:val="00200BE6"/>
    <w:rsid w:val="00201661"/>
    <w:rsid w:val="002020DA"/>
    <w:rsid w:val="00202AE1"/>
    <w:rsid w:val="00204B86"/>
    <w:rsid w:val="002063B1"/>
    <w:rsid w:val="00206565"/>
    <w:rsid w:val="00206D31"/>
    <w:rsid w:val="002111BF"/>
    <w:rsid w:val="00211A2C"/>
    <w:rsid w:val="00217D40"/>
    <w:rsid w:val="002211D0"/>
    <w:rsid w:val="00225535"/>
    <w:rsid w:val="0022775F"/>
    <w:rsid w:val="0023117C"/>
    <w:rsid w:val="002314BE"/>
    <w:rsid w:val="00231A74"/>
    <w:rsid w:val="00234F6E"/>
    <w:rsid w:val="0023790C"/>
    <w:rsid w:val="00237AAD"/>
    <w:rsid w:val="00241645"/>
    <w:rsid w:val="00241AF4"/>
    <w:rsid w:val="00241C63"/>
    <w:rsid w:val="002424A4"/>
    <w:rsid w:val="00242995"/>
    <w:rsid w:val="00242D4D"/>
    <w:rsid w:val="002433DA"/>
    <w:rsid w:val="0024387D"/>
    <w:rsid w:val="00245C39"/>
    <w:rsid w:val="0024632E"/>
    <w:rsid w:val="00251A7B"/>
    <w:rsid w:val="00252BAA"/>
    <w:rsid w:val="00252F96"/>
    <w:rsid w:val="0025385B"/>
    <w:rsid w:val="00255BA0"/>
    <w:rsid w:val="0025626E"/>
    <w:rsid w:val="002622DB"/>
    <w:rsid w:val="002624FD"/>
    <w:rsid w:val="002651B9"/>
    <w:rsid w:val="002661C9"/>
    <w:rsid w:val="00271F3A"/>
    <w:rsid w:val="0027468E"/>
    <w:rsid w:val="002766B9"/>
    <w:rsid w:val="00277D31"/>
    <w:rsid w:val="002836A9"/>
    <w:rsid w:val="00283E50"/>
    <w:rsid w:val="00286446"/>
    <w:rsid w:val="002909C1"/>
    <w:rsid w:val="0029164A"/>
    <w:rsid w:val="002918D2"/>
    <w:rsid w:val="00291D62"/>
    <w:rsid w:val="00291E44"/>
    <w:rsid w:val="00292601"/>
    <w:rsid w:val="00295404"/>
    <w:rsid w:val="00295877"/>
    <w:rsid w:val="002A036E"/>
    <w:rsid w:val="002A2D6D"/>
    <w:rsid w:val="002A3FAB"/>
    <w:rsid w:val="002A5F20"/>
    <w:rsid w:val="002B2288"/>
    <w:rsid w:val="002B2B2E"/>
    <w:rsid w:val="002B4BA4"/>
    <w:rsid w:val="002B4CDF"/>
    <w:rsid w:val="002B5AB8"/>
    <w:rsid w:val="002B71F2"/>
    <w:rsid w:val="002B75B7"/>
    <w:rsid w:val="002B783B"/>
    <w:rsid w:val="002C07F7"/>
    <w:rsid w:val="002C0B2D"/>
    <w:rsid w:val="002C11B6"/>
    <w:rsid w:val="002C1306"/>
    <w:rsid w:val="002C22EC"/>
    <w:rsid w:val="002C2AFD"/>
    <w:rsid w:val="002C4287"/>
    <w:rsid w:val="002C469B"/>
    <w:rsid w:val="002D0D3C"/>
    <w:rsid w:val="002D168F"/>
    <w:rsid w:val="002D2434"/>
    <w:rsid w:val="002D317B"/>
    <w:rsid w:val="002D67A2"/>
    <w:rsid w:val="002D7C00"/>
    <w:rsid w:val="002E0029"/>
    <w:rsid w:val="002E26F7"/>
    <w:rsid w:val="002E34A2"/>
    <w:rsid w:val="002E3EAB"/>
    <w:rsid w:val="002E46B2"/>
    <w:rsid w:val="002E570B"/>
    <w:rsid w:val="002E59F1"/>
    <w:rsid w:val="002F03FE"/>
    <w:rsid w:val="002F1ADE"/>
    <w:rsid w:val="002F1F38"/>
    <w:rsid w:val="002F2843"/>
    <w:rsid w:val="002F3241"/>
    <w:rsid w:val="002F34E9"/>
    <w:rsid w:val="002F5111"/>
    <w:rsid w:val="002F7A0D"/>
    <w:rsid w:val="00301DCF"/>
    <w:rsid w:val="00301DD4"/>
    <w:rsid w:val="00307A33"/>
    <w:rsid w:val="00311137"/>
    <w:rsid w:val="00313C8A"/>
    <w:rsid w:val="00314292"/>
    <w:rsid w:val="003156B1"/>
    <w:rsid w:val="00316271"/>
    <w:rsid w:val="00316BD0"/>
    <w:rsid w:val="00317347"/>
    <w:rsid w:val="003221A8"/>
    <w:rsid w:val="003243A3"/>
    <w:rsid w:val="00325074"/>
    <w:rsid w:val="0032578F"/>
    <w:rsid w:val="003270F1"/>
    <w:rsid w:val="0032724B"/>
    <w:rsid w:val="00327CE5"/>
    <w:rsid w:val="00332699"/>
    <w:rsid w:val="003346E1"/>
    <w:rsid w:val="00336DCA"/>
    <w:rsid w:val="003375A5"/>
    <w:rsid w:val="003376B2"/>
    <w:rsid w:val="00340D86"/>
    <w:rsid w:val="00341C44"/>
    <w:rsid w:val="003453B7"/>
    <w:rsid w:val="003507C8"/>
    <w:rsid w:val="00350F9B"/>
    <w:rsid w:val="00352116"/>
    <w:rsid w:val="003529F2"/>
    <w:rsid w:val="003541F3"/>
    <w:rsid w:val="00354B7A"/>
    <w:rsid w:val="003551CB"/>
    <w:rsid w:val="003559E8"/>
    <w:rsid w:val="00357E21"/>
    <w:rsid w:val="00360469"/>
    <w:rsid w:val="003622F4"/>
    <w:rsid w:val="00363912"/>
    <w:rsid w:val="003640C7"/>
    <w:rsid w:val="00365B81"/>
    <w:rsid w:val="00365D86"/>
    <w:rsid w:val="003662E1"/>
    <w:rsid w:val="00366AE0"/>
    <w:rsid w:val="00366BE1"/>
    <w:rsid w:val="00371528"/>
    <w:rsid w:val="00372696"/>
    <w:rsid w:val="003729C6"/>
    <w:rsid w:val="003739A6"/>
    <w:rsid w:val="003741A8"/>
    <w:rsid w:val="0037505E"/>
    <w:rsid w:val="0037699F"/>
    <w:rsid w:val="00382139"/>
    <w:rsid w:val="00382F07"/>
    <w:rsid w:val="0038304B"/>
    <w:rsid w:val="0038647E"/>
    <w:rsid w:val="0038765F"/>
    <w:rsid w:val="00387C34"/>
    <w:rsid w:val="00387C36"/>
    <w:rsid w:val="00390F68"/>
    <w:rsid w:val="00390FAE"/>
    <w:rsid w:val="00392B55"/>
    <w:rsid w:val="0039470F"/>
    <w:rsid w:val="00396E04"/>
    <w:rsid w:val="00397035"/>
    <w:rsid w:val="0039735D"/>
    <w:rsid w:val="003A10D5"/>
    <w:rsid w:val="003A1E95"/>
    <w:rsid w:val="003A23F0"/>
    <w:rsid w:val="003A3EA9"/>
    <w:rsid w:val="003A5322"/>
    <w:rsid w:val="003A59EE"/>
    <w:rsid w:val="003B0241"/>
    <w:rsid w:val="003B11AD"/>
    <w:rsid w:val="003B5F3B"/>
    <w:rsid w:val="003B689E"/>
    <w:rsid w:val="003C1013"/>
    <w:rsid w:val="003C148F"/>
    <w:rsid w:val="003C2B33"/>
    <w:rsid w:val="003C4197"/>
    <w:rsid w:val="003C4E6B"/>
    <w:rsid w:val="003C56D8"/>
    <w:rsid w:val="003D0077"/>
    <w:rsid w:val="003D0A10"/>
    <w:rsid w:val="003D0D68"/>
    <w:rsid w:val="003D133A"/>
    <w:rsid w:val="003D24CE"/>
    <w:rsid w:val="003D2B06"/>
    <w:rsid w:val="003D5F07"/>
    <w:rsid w:val="003D612B"/>
    <w:rsid w:val="003D799F"/>
    <w:rsid w:val="003E0915"/>
    <w:rsid w:val="003E135E"/>
    <w:rsid w:val="003E15B1"/>
    <w:rsid w:val="003E1834"/>
    <w:rsid w:val="003E34AB"/>
    <w:rsid w:val="003E40B2"/>
    <w:rsid w:val="003E5BBC"/>
    <w:rsid w:val="003E609D"/>
    <w:rsid w:val="003E7F43"/>
    <w:rsid w:val="003F0093"/>
    <w:rsid w:val="003F0855"/>
    <w:rsid w:val="003F201E"/>
    <w:rsid w:val="003F3930"/>
    <w:rsid w:val="003F4232"/>
    <w:rsid w:val="003F4687"/>
    <w:rsid w:val="003F48C6"/>
    <w:rsid w:val="003F50B4"/>
    <w:rsid w:val="003F523D"/>
    <w:rsid w:val="003F5270"/>
    <w:rsid w:val="003F6263"/>
    <w:rsid w:val="003F69F2"/>
    <w:rsid w:val="00401443"/>
    <w:rsid w:val="004015D3"/>
    <w:rsid w:val="004017AF"/>
    <w:rsid w:val="004018D1"/>
    <w:rsid w:val="00401B2A"/>
    <w:rsid w:val="004042A7"/>
    <w:rsid w:val="00405535"/>
    <w:rsid w:val="004059B4"/>
    <w:rsid w:val="00410ABE"/>
    <w:rsid w:val="00410F80"/>
    <w:rsid w:val="00411BB2"/>
    <w:rsid w:val="00411DFA"/>
    <w:rsid w:val="004127EE"/>
    <w:rsid w:val="004136F1"/>
    <w:rsid w:val="004146F3"/>
    <w:rsid w:val="00417584"/>
    <w:rsid w:val="00420E0D"/>
    <w:rsid w:val="00420F29"/>
    <w:rsid w:val="00421BE1"/>
    <w:rsid w:val="00422187"/>
    <w:rsid w:val="004222BF"/>
    <w:rsid w:val="00422B90"/>
    <w:rsid w:val="00424CE8"/>
    <w:rsid w:val="00424DA1"/>
    <w:rsid w:val="00424FA9"/>
    <w:rsid w:val="00427E7C"/>
    <w:rsid w:val="00430B7C"/>
    <w:rsid w:val="00430D3D"/>
    <w:rsid w:val="004318F4"/>
    <w:rsid w:val="00432051"/>
    <w:rsid w:val="00433D06"/>
    <w:rsid w:val="00435341"/>
    <w:rsid w:val="0043599E"/>
    <w:rsid w:val="00437205"/>
    <w:rsid w:val="00437457"/>
    <w:rsid w:val="00437BEA"/>
    <w:rsid w:val="00440A75"/>
    <w:rsid w:val="00440ECC"/>
    <w:rsid w:val="00440FD5"/>
    <w:rsid w:val="00441264"/>
    <w:rsid w:val="004422B6"/>
    <w:rsid w:val="00442A24"/>
    <w:rsid w:val="00442D85"/>
    <w:rsid w:val="00443694"/>
    <w:rsid w:val="0044422A"/>
    <w:rsid w:val="00446951"/>
    <w:rsid w:val="004507A4"/>
    <w:rsid w:val="00450915"/>
    <w:rsid w:val="004525A3"/>
    <w:rsid w:val="00453726"/>
    <w:rsid w:val="00456243"/>
    <w:rsid w:val="00457D63"/>
    <w:rsid w:val="00461899"/>
    <w:rsid w:val="004630F6"/>
    <w:rsid w:val="004640A4"/>
    <w:rsid w:val="00464489"/>
    <w:rsid w:val="00464CF1"/>
    <w:rsid w:val="004652E7"/>
    <w:rsid w:val="00466000"/>
    <w:rsid w:val="00473883"/>
    <w:rsid w:val="004742D8"/>
    <w:rsid w:val="00474A50"/>
    <w:rsid w:val="004750C0"/>
    <w:rsid w:val="00476B88"/>
    <w:rsid w:val="004807FE"/>
    <w:rsid w:val="0048137C"/>
    <w:rsid w:val="00481F82"/>
    <w:rsid w:val="00482A77"/>
    <w:rsid w:val="0048444E"/>
    <w:rsid w:val="0048538B"/>
    <w:rsid w:val="004855C0"/>
    <w:rsid w:val="0048755A"/>
    <w:rsid w:val="00487BD2"/>
    <w:rsid w:val="00487F76"/>
    <w:rsid w:val="004900B1"/>
    <w:rsid w:val="00490170"/>
    <w:rsid w:val="00490681"/>
    <w:rsid w:val="00490E1A"/>
    <w:rsid w:val="0049154B"/>
    <w:rsid w:val="00491776"/>
    <w:rsid w:val="00491A4C"/>
    <w:rsid w:val="00492831"/>
    <w:rsid w:val="004930A4"/>
    <w:rsid w:val="00496086"/>
    <w:rsid w:val="00496EF3"/>
    <w:rsid w:val="004A028E"/>
    <w:rsid w:val="004A2259"/>
    <w:rsid w:val="004A24BF"/>
    <w:rsid w:val="004A56A8"/>
    <w:rsid w:val="004A7377"/>
    <w:rsid w:val="004B2988"/>
    <w:rsid w:val="004B54B4"/>
    <w:rsid w:val="004B744D"/>
    <w:rsid w:val="004B789D"/>
    <w:rsid w:val="004B7BE8"/>
    <w:rsid w:val="004C08A1"/>
    <w:rsid w:val="004C31DD"/>
    <w:rsid w:val="004C32FC"/>
    <w:rsid w:val="004C487C"/>
    <w:rsid w:val="004C4ECD"/>
    <w:rsid w:val="004C57B7"/>
    <w:rsid w:val="004C780C"/>
    <w:rsid w:val="004C7C2B"/>
    <w:rsid w:val="004C7E97"/>
    <w:rsid w:val="004C7EC3"/>
    <w:rsid w:val="004D10A9"/>
    <w:rsid w:val="004D397B"/>
    <w:rsid w:val="004D3F13"/>
    <w:rsid w:val="004D5528"/>
    <w:rsid w:val="004D5CF4"/>
    <w:rsid w:val="004E05A8"/>
    <w:rsid w:val="004E0FD6"/>
    <w:rsid w:val="004E154B"/>
    <w:rsid w:val="004E1645"/>
    <w:rsid w:val="004E2980"/>
    <w:rsid w:val="004E2C41"/>
    <w:rsid w:val="004E2E91"/>
    <w:rsid w:val="004E2F24"/>
    <w:rsid w:val="004E5B89"/>
    <w:rsid w:val="004E5BB5"/>
    <w:rsid w:val="004F0736"/>
    <w:rsid w:val="004F0B3F"/>
    <w:rsid w:val="004F0FAD"/>
    <w:rsid w:val="004F1127"/>
    <w:rsid w:val="004F40A7"/>
    <w:rsid w:val="004F5C79"/>
    <w:rsid w:val="004F72E3"/>
    <w:rsid w:val="004F7873"/>
    <w:rsid w:val="005005F0"/>
    <w:rsid w:val="00502D28"/>
    <w:rsid w:val="005065C1"/>
    <w:rsid w:val="005068C4"/>
    <w:rsid w:val="00510C66"/>
    <w:rsid w:val="00513744"/>
    <w:rsid w:val="005139FD"/>
    <w:rsid w:val="005140FE"/>
    <w:rsid w:val="005153C3"/>
    <w:rsid w:val="00515857"/>
    <w:rsid w:val="00516773"/>
    <w:rsid w:val="00523F49"/>
    <w:rsid w:val="005241C1"/>
    <w:rsid w:val="00524A22"/>
    <w:rsid w:val="0052732C"/>
    <w:rsid w:val="00530125"/>
    <w:rsid w:val="005310D6"/>
    <w:rsid w:val="00532D95"/>
    <w:rsid w:val="005341C2"/>
    <w:rsid w:val="005343E5"/>
    <w:rsid w:val="00534C74"/>
    <w:rsid w:val="00535D70"/>
    <w:rsid w:val="0053645D"/>
    <w:rsid w:val="0053740E"/>
    <w:rsid w:val="00540A19"/>
    <w:rsid w:val="00543473"/>
    <w:rsid w:val="005438D5"/>
    <w:rsid w:val="00543A39"/>
    <w:rsid w:val="00545DCD"/>
    <w:rsid w:val="0054601F"/>
    <w:rsid w:val="00551255"/>
    <w:rsid w:val="005520BD"/>
    <w:rsid w:val="0055214A"/>
    <w:rsid w:val="005533C2"/>
    <w:rsid w:val="00553DE3"/>
    <w:rsid w:val="0055797F"/>
    <w:rsid w:val="005601A4"/>
    <w:rsid w:val="005603FF"/>
    <w:rsid w:val="00560DC3"/>
    <w:rsid w:val="005627ED"/>
    <w:rsid w:val="00563A01"/>
    <w:rsid w:val="005644B3"/>
    <w:rsid w:val="005644D1"/>
    <w:rsid w:val="00566946"/>
    <w:rsid w:val="00567DEE"/>
    <w:rsid w:val="00574543"/>
    <w:rsid w:val="005762A1"/>
    <w:rsid w:val="00577572"/>
    <w:rsid w:val="005810F8"/>
    <w:rsid w:val="0058229D"/>
    <w:rsid w:val="00583042"/>
    <w:rsid w:val="0058662C"/>
    <w:rsid w:val="00586D54"/>
    <w:rsid w:val="00586ED0"/>
    <w:rsid w:val="0058760E"/>
    <w:rsid w:val="00587BBB"/>
    <w:rsid w:val="00590BD5"/>
    <w:rsid w:val="00591ECF"/>
    <w:rsid w:val="00592F48"/>
    <w:rsid w:val="0059337E"/>
    <w:rsid w:val="00594D52"/>
    <w:rsid w:val="00594FF1"/>
    <w:rsid w:val="005956C3"/>
    <w:rsid w:val="00596EDA"/>
    <w:rsid w:val="0059728C"/>
    <w:rsid w:val="005973D5"/>
    <w:rsid w:val="00597544"/>
    <w:rsid w:val="005A03BA"/>
    <w:rsid w:val="005A3646"/>
    <w:rsid w:val="005A3C55"/>
    <w:rsid w:val="005A3D5C"/>
    <w:rsid w:val="005A52D8"/>
    <w:rsid w:val="005A5366"/>
    <w:rsid w:val="005A56A7"/>
    <w:rsid w:val="005A5EE6"/>
    <w:rsid w:val="005A6B59"/>
    <w:rsid w:val="005B0B64"/>
    <w:rsid w:val="005B1A64"/>
    <w:rsid w:val="005B1CE5"/>
    <w:rsid w:val="005B36E2"/>
    <w:rsid w:val="005B56B7"/>
    <w:rsid w:val="005B5AF4"/>
    <w:rsid w:val="005B6775"/>
    <w:rsid w:val="005C1D94"/>
    <w:rsid w:val="005C284E"/>
    <w:rsid w:val="005C385B"/>
    <w:rsid w:val="005C3A96"/>
    <w:rsid w:val="005C4C16"/>
    <w:rsid w:val="005C58A5"/>
    <w:rsid w:val="005C5BA4"/>
    <w:rsid w:val="005C7235"/>
    <w:rsid w:val="005D1674"/>
    <w:rsid w:val="005D4365"/>
    <w:rsid w:val="005D4404"/>
    <w:rsid w:val="005D48ED"/>
    <w:rsid w:val="005D5161"/>
    <w:rsid w:val="005D64BB"/>
    <w:rsid w:val="005D7CB8"/>
    <w:rsid w:val="005D7FCC"/>
    <w:rsid w:val="005E1C81"/>
    <w:rsid w:val="005E20FF"/>
    <w:rsid w:val="005E23FC"/>
    <w:rsid w:val="005E684E"/>
    <w:rsid w:val="005E7DEF"/>
    <w:rsid w:val="005F149E"/>
    <w:rsid w:val="005F14C0"/>
    <w:rsid w:val="005F14C1"/>
    <w:rsid w:val="005F1ED8"/>
    <w:rsid w:val="005F271D"/>
    <w:rsid w:val="005F2FA9"/>
    <w:rsid w:val="00600B0D"/>
    <w:rsid w:val="00600BFA"/>
    <w:rsid w:val="00600F18"/>
    <w:rsid w:val="0060234C"/>
    <w:rsid w:val="006024DC"/>
    <w:rsid w:val="00603C05"/>
    <w:rsid w:val="006043D9"/>
    <w:rsid w:val="00604B3C"/>
    <w:rsid w:val="00604CD2"/>
    <w:rsid w:val="0060578C"/>
    <w:rsid w:val="00605F52"/>
    <w:rsid w:val="006063DA"/>
    <w:rsid w:val="0061171A"/>
    <w:rsid w:val="00612D73"/>
    <w:rsid w:val="0061396B"/>
    <w:rsid w:val="00613BDE"/>
    <w:rsid w:val="006154AC"/>
    <w:rsid w:val="0062150E"/>
    <w:rsid w:val="00622618"/>
    <w:rsid w:val="00622F65"/>
    <w:rsid w:val="0062483A"/>
    <w:rsid w:val="00624DFC"/>
    <w:rsid w:val="006263AB"/>
    <w:rsid w:val="00626544"/>
    <w:rsid w:val="006303B9"/>
    <w:rsid w:val="00634837"/>
    <w:rsid w:val="00634F9B"/>
    <w:rsid w:val="006372CE"/>
    <w:rsid w:val="006375FF"/>
    <w:rsid w:val="006401C8"/>
    <w:rsid w:val="00640C7E"/>
    <w:rsid w:val="00642C81"/>
    <w:rsid w:val="0064424B"/>
    <w:rsid w:val="006450A0"/>
    <w:rsid w:val="006523B7"/>
    <w:rsid w:val="0065673F"/>
    <w:rsid w:val="00656973"/>
    <w:rsid w:val="006579FA"/>
    <w:rsid w:val="00660739"/>
    <w:rsid w:val="00661045"/>
    <w:rsid w:val="00661A1F"/>
    <w:rsid w:val="00661CCF"/>
    <w:rsid w:val="006639B8"/>
    <w:rsid w:val="00664BB5"/>
    <w:rsid w:val="00664C37"/>
    <w:rsid w:val="006659B2"/>
    <w:rsid w:val="006661AA"/>
    <w:rsid w:val="00666DE2"/>
    <w:rsid w:val="0067078E"/>
    <w:rsid w:val="00671EE1"/>
    <w:rsid w:val="006722A7"/>
    <w:rsid w:val="00673454"/>
    <w:rsid w:val="0067350F"/>
    <w:rsid w:val="00674D9C"/>
    <w:rsid w:val="0067509E"/>
    <w:rsid w:val="00675EEA"/>
    <w:rsid w:val="00676245"/>
    <w:rsid w:val="00676653"/>
    <w:rsid w:val="00677564"/>
    <w:rsid w:val="00682077"/>
    <w:rsid w:val="00686C56"/>
    <w:rsid w:val="00687465"/>
    <w:rsid w:val="00687E83"/>
    <w:rsid w:val="00690B9A"/>
    <w:rsid w:val="0069225A"/>
    <w:rsid w:val="00693498"/>
    <w:rsid w:val="00693CF2"/>
    <w:rsid w:val="00694409"/>
    <w:rsid w:val="00694E3A"/>
    <w:rsid w:val="00694FBC"/>
    <w:rsid w:val="00696668"/>
    <w:rsid w:val="00697725"/>
    <w:rsid w:val="006A0193"/>
    <w:rsid w:val="006A025B"/>
    <w:rsid w:val="006A117B"/>
    <w:rsid w:val="006A3167"/>
    <w:rsid w:val="006A5DC7"/>
    <w:rsid w:val="006A64E5"/>
    <w:rsid w:val="006A7184"/>
    <w:rsid w:val="006A7F02"/>
    <w:rsid w:val="006B1119"/>
    <w:rsid w:val="006B1E07"/>
    <w:rsid w:val="006B225A"/>
    <w:rsid w:val="006B5D72"/>
    <w:rsid w:val="006B614E"/>
    <w:rsid w:val="006B7027"/>
    <w:rsid w:val="006B7F92"/>
    <w:rsid w:val="006C2870"/>
    <w:rsid w:val="006C3249"/>
    <w:rsid w:val="006C487F"/>
    <w:rsid w:val="006C4DDE"/>
    <w:rsid w:val="006C5100"/>
    <w:rsid w:val="006C7ADD"/>
    <w:rsid w:val="006D0008"/>
    <w:rsid w:val="006D0649"/>
    <w:rsid w:val="006D3754"/>
    <w:rsid w:val="006D422C"/>
    <w:rsid w:val="006D4B70"/>
    <w:rsid w:val="006D4E53"/>
    <w:rsid w:val="006D6025"/>
    <w:rsid w:val="006E0111"/>
    <w:rsid w:val="006E1B87"/>
    <w:rsid w:val="006E2490"/>
    <w:rsid w:val="006E24C0"/>
    <w:rsid w:val="006E2741"/>
    <w:rsid w:val="006E3C35"/>
    <w:rsid w:val="006E6E85"/>
    <w:rsid w:val="006E792C"/>
    <w:rsid w:val="006E796F"/>
    <w:rsid w:val="006E7D70"/>
    <w:rsid w:val="006F01A7"/>
    <w:rsid w:val="006F04A7"/>
    <w:rsid w:val="006F2908"/>
    <w:rsid w:val="006F31C2"/>
    <w:rsid w:val="006F3494"/>
    <w:rsid w:val="006F3566"/>
    <w:rsid w:val="006F5CAD"/>
    <w:rsid w:val="0070070B"/>
    <w:rsid w:val="00700855"/>
    <w:rsid w:val="00700E4A"/>
    <w:rsid w:val="0070180B"/>
    <w:rsid w:val="00701FC8"/>
    <w:rsid w:val="007026F1"/>
    <w:rsid w:val="00703685"/>
    <w:rsid w:val="0070518F"/>
    <w:rsid w:val="00705A8A"/>
    <w:rsid w:val="007063C8"/>
    <w:rsid w:val="00707456"/>
    <w:rsid w:val="00707D77"/>
    <w:rsid w:val="00711110"/>
    <w:rsid w:val="00712580"/>
    <w:rsid w:val="007138BE"/>
    <w:rsid w:val="007142E1"/>
    <w:rsid w:val="007155A3"/>
    <w:rsid w:val="00717751"/>
    <w:rsid w:val="007179FD"/>
    <w:rsid w:val="00722283"/>
    <w:rsid w:val="00722459"/>
    <w:rsid w:val="00722463"/>
    <w:rsid w:val="00722EAA"/>
    <w:rsid w:val="00723E61"/>
    <w:rsid w:val="007241BD"/>
    <w:rsid w:val="00730A44"/>
    <w:rsid w:val="00733123"/>
    <w:rsid w:val="007359CF"/>
    <w:rsid w:val="00735F5B"/>
    <w:rsid w:val="00735FC2"/>
    <w:rsid w:val="00736FFE"/>
    <w:rsid w:val="0074062A"/>
    <w:rsid w:val="0074133C"/>
    <w:rsid w:val="00741E4F"/>
    <w:rsid w:val="00742E03"/>
    <w:rsid w:val="00744618"/>
    <w:rsid w:val="00752443"/>
    <w:rsid w:val="00752A91"/>
    <w:rsid w:val="00752E5F"/>
    <w:rsid w:val="00752FF2"/>
    <w:rsid w:val="0075478A"/>
    <w:rsid w:val="00754DB2"/>
    <w:rsid w:val="00756256"/>
    <w:rsid w:val="00756436"/>
    <w:rsid w:val="00756E3B"/>
    <w:rsid w:val="00756FA9"/>
    <w:rsid w:val="007577B1"/>
    <w:rsid w:val="007604D7"/>
    <w:rsid w:val="007620ED"/>
    <w:rsid w:val="007624A0"/>
    <w:rsid w:val="00762E2A"/>
    <w:rsid w:val="007641C8"/>
    <w:rsid w:val="007641E4"/>
    <w:rsid w:val="00765542"/>
    <w:rsid w:val="00765F94"/>
    <w:rsid w:val="0077003B"/>
    <w:rsid w:val="0077104F"/>
    <w:rsid w:val="0077230C"/>
    <w:rsid w:val="00773140"/>
    <w:rsid w:val="00774BD0"/>
    <w:rsid w:val="007756B4"/>
    <w:rsid w:val="00781A32"/>
    <w:rsid w:val="00781BA9"/>
    <w:rsid w:val="00782481"/>
    <w:rsid w:val="007833F0"/>
    <w:rsid w:val="00785FBF"/>
    <w:rsid w:val="0078708C"/>
    <w:rsid w:val="00787DE7"/>
    <w:rsid w:val="00790964"/>
    <w:rsid w:val="00791D1B"/>
    <w:rsid w:val="00792729"/>
    <w:rsid w:val="007962C3"/>
    <w:rsid w:val="007A4A57"/>
    <w:rsid w:val="007A4F17"/>
    <w:rsid w:val="007A5258"/>
    <w:rsid w:val="007A581D"/>
    <w:rsid w:val="007A6195"/>
    <w:rsid w:val="007A62FF"/>
    <w:rsid w:val="007B0E2D"/>
    <w:rsid w:val="007B1128"/>
    <w:rsid w:val="007B38A0"/>
    <w:rsid w:val="007B3DA5"/>
    <w:rsid w:val="007B45F6"/>
    <w:rsid w:val="007B4834"/>
    <w:rsid w:val="007B4CA5"/>
    <w:rsid w:val="007B53A2"/>
    <w:rsid w:val="007B69A1"/>
    <w:rsid w:val="007C0D25"/>
    <w:rsid w:val="007C10B6"/>
    <w:rsid w:val="007C1758"/>
    <w:rsid w:val="007C1E77"/>
    <w:rsid w:val="007C370E"/>
    <w:rsid w:val="007C6FC1"/>
    <w:rsid w:val="007C71FC"/>
    <w:rsid w:val="007C7CB6"/>
    <w:rsid w:val="007D108D"/>
    <w:rsid w:val="007D2D6C"/>
    <w:rsid w:val="007D44E4"/>
    <w:rsid w:val="007D45A8"/>
    <w:rsid w:val="007D69F7"/>
    <w:rsid w:val="007D71A9"/>
    <w:rsid w:val="007E20CD"/>
    <w:rsid w:val="007E3146"/>
    <w:rsid w:val="007E467C"/>
    <w:rsid w:val="007E473C"/>
    <w:rsid w:val="007E533A"/>
    <w:rsid w:val="007E53C8"/>
    <w:rsid w:val="007E5F63"/>
    <w:rsid w:val="007E6AD0"/>
    <w:rsid w:val="007F0986"/>
    <w:rsid w:val="007F13BA"/>
    <w:rsid w:val="007F21F9"/>
    <w:rsid w:val="007F3662"/>
    <w:rsid w:val="007F5A23"/>
    <w:rsid w:val="007F60A0"/>
    <w:rsid w:val="007F7A6D"/>
    <w:rsid w:val="007F7B19"/>
    <w:rsid w:val="008001BF"/>
    <w:rsid w:val="008003BD"/>
    <w:rsid w:val="008009BE"/>
    <w:rsid w:val="00802269"/>
    <w:rsid w:val="008033D8"/>
    <w:rsid w:val="00806E68"/>
    <w:rsid w:val="0080728C"/>
    <w:rsid w:val="00807EB4"/>
    <w:rsid w:val="00810143"/>
    <w:rsid w:val="00810689"/>
    <w:rsid w:val="008112AB"/>
    <w:rsid w:val="0081177D"/>
    <w:rsid w:val="0081567D"/>
    <w:rsid w:val="008163E9"/>
    <w:rsid w:val="0081714E"/>
    <w:rsid w:val="00821141"/>
    <w:rsid w:val="00821763"/>
    <w:rsid w:val="00822762"/>
    <w:rsid w:val="00824969"/>
    <w:rsid w:val="00830746"/>
    <w:rsid w:val="008319A0"/>
    <w:rsid w:val="00832E37"/>
    <w:rsid w:val="0083359B"/>
    <w:rsid w:val="00833B06"/>
    <w:rsid w:val="008351A1"/>
    <w:rsid w:val="008358B1"/>
    <w:rsid w:val="00835EBE"/>
    <w:rsid w:val="00836C16"/>
    <w:rsid w:val="00837AE0"/>
    <w:rsid w:val="00837AE7"/>
    <w:rsid w:val="00841407"/>
    <w:rsid w:val="00841C44"/>
    <w:rsid w:val="00841C59"/>
    <w:rsid w:val="00842AD8"/>
    <w:rsid w:val="00845C14"/>
    <w:rsid w:val="00846349"/>
    <w:rsid w:val="00846952"/>
    <w:rsid w:val="00847470"/>
    <w:rsid w:val="0085093B"/>
    <w:rsid w:val="00851139"/>
    <w:rsid w:val="00851A34"/>
    <w:rsid w:val="00853461"/>
    <w:rsid w:val="00853AC2"/>
    <w:rsid w:val="00853B4C"/>
    <w:rsid w:val="008543E4"/>
    <w:rsid w:val="008565CD"/>
    <w:rsid w:val="00856C8D"/>
    <w:rsid w:val="00860A4B"/>
    <w:rsid w:val="008613FE"/>
    <w:rsid w:val="00862219"/>
    <w:rsid w:val="00863636"/>
    <w:rsid w:val="008639D1"/>
    <w:rsid w:val="00863C0E"/>
    <w:rsid w:val="008641D5"/>
    <w:rsid w:val="008641F4"/>
    <w:rsid w:val="0086790A"/>
    <w:rsid w:val="00870134"/>
    <w:rsid w:val="00870818"/>
    <w:rsid w:val="00871124"/>
    <w:rsid w:val="00871B97"/>
    <w:rsid w:val="008724E9"/>
    <w:rsid w:val="00873E01"/>
    <w:rsid w:val="00874757"/>
    <w:rsid w:val="00874885"/>
    <w:rsid w:val="0087526E"/>
    <w:rsid w:val="0087637B"/>
    <w:rsid w:val="00877490"/>
    <w:rsid w:val="00880B53"/>
    <w:rsid w:val="00884B65"/>
    <w:rsid w:val="00884C4A"/>
    <w:rsid w:val="00885285"/>
    <w:rsid w:val="00885884"/>
    <w:rsid w:val="00885D4B"/>
    <w:rsid w:val="008871F4"/>
    <w:rsid w:val="00887BDD"/>
    <w:rsid w:val="00890071"/>
    <w:rsid w:val="00891AB0"/>
    <w:rsid w:val="00891B4F"/>
    <w:rsid w:val="00892BE6"/>
    <w:rsid w:val="008949EC"/>
    <w:rsid w:val="008957E7"/>
    <w:rsid w:val="00896254"/>
    <w:rsid w:val="0089697B"/>
    <w:rsid w:val="00897901"/>
    <w:rsid w:val="008A06F5"/>
    <w:rsid w:val="008A4905"/>
    <w:rsid w:val="008A6337"/>
    <w:rsid w:val="008B0273"/>
    <w:rsid w:val="008B08B1"/>
    <w:rsid w:val="008B243E"/>
    <w:rsid w:val="008B5031"/>
    <w:rsid w:val="008B69A6"/>
    <w:rsid w:val="008B7D32"/>
    <w:rsid w:val="008C3067"/>
    <w:rsid w:val="008C4FAF"/>
    <w:rsid w:val="008C6904"/>
    <w:rsid w:val="008D141E"/>
    <w:rsid w:val="008D2EF7"/>
    <w:rsid w:val="008D4B31"/>
    <w:rsid w:val="008D4C03"/>
    <w:rsid w:val="008D52BB"/>
    <w:rsid w:val="008D5E60"/>
    <w:rsid w:val="008D67A1"/>
    <w:rsid w:val="008E1335"/>
    <w:rsid w:val="008E1843"/>
    <w:rsid w:val="008E1A85"/>
    <w:rsid w:val="008E1EE4"/>
    <w:rsid w:val="008E298B"/>
    <w:rsid w:val="008E45BC"/>
    <w:rsid w:val="008E45CD"/>
    <w:rsid w:val="008E5D51"/>
    <w:rsid w:val="008E77B8"/>
    <w:rsid w:val="008F06B2"/>
    <w:rsid w:val="008F0C35"/>
    <w:rsid w:val="008F0EBB"/>
    <w:rsid w:val="008F12E0"/>
    <w:rsid w:val="008F2C98"/>
    <w:rsid w:val="008F33AA"/>
    <w:rsid w:val="008F4014"/>
    <w:rsid w:val="008F4281"/>
    <w:rsid w:val="008F5F73"/>
    <w:rsid w:val="008F6E07"/>
    <w:rsid w:val="008F7849"/>
    <w:rsid w:val="008F7E51"/>
    <w:rsid w:val="0090269C"/>
    <w:rsid w:val="00902DCF"/>
    <w:rsid w:val="0090312E"/>
    <w:rsid w:val="00913E50"/>
    <w:rsid w:val="009156C4"/>
    <w:rsid w:val="00921942"/>
    <w:rsid w:val="00922C74"/>
    <w:rsid w:val="00923AAD"/>
    <w:rsid w:val="00924675"/>
    <w:rsid w:val="00930D5A"/>
    <w:rsid w:val="00932FEA"/>
    <w:rsid w:val="00933C83"/>
    <w:rsid w:val="0093442D"/>
    <w:rsid w:val="0093451A"/>
    <w:rsid w:val="009350D2"/>
    <w:rsid w:val="0093558C"/>
    <w:rsid w:val="00935BE8"/>
    <w:rsid w:val="00936AAB"/>
    <w:rsid w:val="009373E1"/>
    <w:rsid w:val="0093747E"/>
    <w:rsid w:val="00941458"/>
    <w:rsid w:val="0094195D"/>
    <w:rsid w:val="009420D4"/>
    <w:rsid w:val="00942BF8"/>
    <w:rsid w:val="00944124"/>
    <w:rsid w:val="00944C56"/>
    <w:rsid w:val="00946EC0"/>
    <w:rsid w:val="00947455"/>
    <w:rsid w:val="00947736"/>
    <w:rsid w:val="0094790B"/>
    <w:rsid w:val="0095140B"/>
    <w:rsid w:val="009542CF"/>
    <w:rsid w:val="00954A30"/>
    <w:rsid w:val="00955056"/>
    <w:rsid w:val="009576DF"/>
    <w:rsid w:val="0095797F"/>
    <w:rsid w:val="00960D3C"/>
    <w:rsid w:val="00961AE8"/>
    <w:rsid w:val="00961C3B"/>
    <w:rsid w:val="00962555"/>
    <w:rsid w:val="009630C1"/>
    <w:rsid w:val="00965058"/>
    <w:rsid w:val="0096565E"/>
    <w:rsid w:val="00966709"/>
    <w:rsid w:val="00971640"/>
    <w:rsid w:val="0097172C"/>
    <w:rsid w:val="00974B11"/>
    <w:rsid w:val="00974ECE"/>
    <w:rsid w:val="00976BE8"/>
    <w:rsid w:val="009771DB"/>
    <w:rsid w:val="00977324"/>
    <w:rsid w:val="0097761F"/>
    <w:rsid w:val="00977636"/>
    <w:rsid w:val="00983151"/>
    <w:rsid w:val="009846C2"/>
    <w:rsid w:val="00985FA6"/>
    <w:rsid w:val="0098653E"/>
    <w:rsid w:val="00986CC2"/>
    <w:rsid w:val="00987501"/>
    <w:rsid w:val="00987650"/>
    <w:rsid w:val="0099280C"/>
    <w:rsid w:val="00992CD6"/>
    <w:rsid w:val="00992EFC"/>
    <w:rsid w:val="009930ED"/>
    <w:rsid w:val="00993491"/>
    <w:rsid w:val="00993BDC"/>
    <w:rsid w:val="00995205"/>
    <w:rsid w:val="009953F6"/>
    <w:rsid w:val="0099598E"/>
    <w:rsid w:val="00995D6E"/>
    <w:rsid w:val="009A0C03"/>
    <w:rsid w:val="009A43F8"/>
    <w:rsid w:val="009A453F"/>
    <w:rsid w:val="009B1AE4"/>
    <w:rsid w:val="009B1B3C"/>
    <w:rsid w:val="009B38D0"/>
    <w:rsid w:val="009B530C"/>
    <w:rsid w:val="009B5B82"/>
    <w:rsid w:val="009C4240"/>
    <w:rsid w:val="009C4260"/>
    <w:rsid w:val="009C441D"/>
    <w:rsid w:val="009C4DDD"/>
    <w:rsid w:val="009C70F7"/>
    <w:rsid w:val="009D1DD4"/>
    <w:rsid w:val="009D2A33"/>
    <w:rsid w:val="009D2D9D"/>
    <w:rsid w:val="009D343B"/>
    <w:rsid w:val="009D34BB"/>
    <w:rsid w:val="009D4C04"/>
    <w:rsid w:val="009D4C3F"/>
    <w:rsid w:val="009D61E0"/>
    <w:rsid w:val="009E03CA"/>
    <w:rsid w:val="009E0F0C"/>
    <w:rsid w:val="009E1DB0"/>
    <w:rsid w:val="009E26B5"/>
    <w:rsid w:val="009E30B8"/>
    <w:rsid w:val="009E34E4"/>
    <w:rsid w:val="009E3A41"/>
    <w:rsid w:val="009E3AE8"/>
    <w:rsid w:val="009E4980"/>
    <w:rsid w:val="009E4D25"/>
    <w:rsid w:val="009E5133"/>
    <w:rsid w:val="009E527F"/>
    <w:rsid w:val="009E581E"/>
    <w:rsid w:val="009E684B"/>
    <w:rsid w:val="009E7740"/>
    <w:rsid w:val="009E789F"/>
    <w:rsid w:val="009F1412"/>
    <w:rsid w:val="009F2053"/>
    <w:rsid w:val="009F3B27"/>
    <w:rsid w:val="009F4F2D"/>
    <w:rsid w:val="009F6959"/>
    <w:rsid w:val="009F7054"/>
    <w:rsid w:val="00A00152"/>
    <w:rsid w:val="00A00499"/>
    <w:rsid w:val="00A0265A"/>
    <w:rsid w:val="00A038B5"/>
    <w:rsid w:val="00A04D77"/>
    <w:rsid w:val="00A05FDD"/>
    <w:rsid w:val="00A12C81"/>
    <w:rsid w:val="00A12ED1"/>
    <w:rsid w:val="00A1574D"/>
    <w:rsid w:val="00A16560"/>
    <w:rsid w:val="00A17630"/>
    <w:rsid w:val="00A2095D"/>
    <w:rsid w:val="00A21A15"/>
    <w:rsid w:val="00A237CF"/>
    <w:rsid w:val="00A23ACF"/>
    <w:rsid w:val="00A24034"/>
    <w:rsid w:val="00A25C56"/>
    <w:rsid w:val="00A2618B"/>
    <w:rsid w:val="00A313DB"/>
    <w:rsid w:val="00A3213D"/>
    <w:rsid w:val="00A32D46"/>
    <w:rsid w:val="00A3381F"/>
    <w:rsid w:val="00A33AF2"/>
    <w:rsid w:val="00A3517A"/>
    <w:rsid w:val="00A35454"/>
    <w:rsid w:val="00A35B75"/>
    <w:rsid w:val="00A40490"/>
    <w:rsid w:val="00A40B51"/>
    <w:rsid w:val="00A41A42"/>
    <w:rsid w:val="00A41BC4"/>
    <w:rsid w:val="00A423E0"/>
    <w:rsid w:val="00A430BC"/>
    <w:rsid w:val="00A4410D"/>
    <w:rsid w:val="00A507EE"/>
    <w:rsid w:val="00A52B00"/>
    <w:rsid w:val="00A54934"/>
    <w:rsid w:val="00A55816"/>
    <w:rsid w:val="00A55AD8"/>
    <w:rsid w:val="00A56F92"/>
    <w:rsid w:val="00A56FD3"/>
    <w:rsid w:val="00A618D4"/>
    <w:rsid w:val="00A61B31"/>
    <w:rsid w:val="00A623B2"/>
    <w:rsid w:val="00A629B5"/>
    <w:rsid w:val="00A62B8A"/>
    <w:rsid w:val="00A650F1"/>
    <w:rsid w:val="00A65936"/>
    <w:rsid w:val="00A66121"/>
    <w:rsid w:val="00A662CF"/>
    <w:rsid w:val="00A6737E"/>
    <w:rsid w:val="00A67F8F"/>
    <w:rsid w:val="00A71048"/>
    <w:rsid w:val="00A71FC2"/>
    <w:rsid w:val="00A71FF5"/>
    <w:rsid w:val="00A725BF"/>
    <w:rsid w:val="00A730B6"/>
    <w:rsid w:val="00A7407D"/>
    <w:rsid w:val="00A74592"/>
    <w:rsid w:val="00A7475B"/>
    <w:rsid w:val="00A76BBB"/>
    <w:rsid w:val="00A777AB"/>
    <w:rsid w:val="00A80D44"/>
    <w:rsid w:val="00A81EBB"/>
    <w:rsid w:val="00A82219"/>
    <w:rsid w:val="00A82D5C"/>
    <w:rsid w:val="00A8347E"/>
    <w:rsid w:val="00A837D7"/>
    <w:rsid w:val="00A8612B"/>
    <w:rsid w:val="00A86EDE"/>
    <w:rsid w:val="00A870A7"/>
    <w:rsid w:val="00A8756E"/>
    <w:rsid w:val="00A90BF5"/>
    <w:rsid w:val="00A922CA"/>
    <w:rsid w:val="00A923BB"/>
    <w:rsid w:val="00A92B6E"/>
    <w:rsid w:val="00A92C82"/>
    <w:rsid w:val="00A93E14"/>
    <w:rsid w:val="00A94C13"/>
    <w:rsid w:val="00A94F28"/>
    <w:rsid w:val="00A96E06"/>
    <w:rsid w:val="00A97250"/>
    <w:rsid w:val="00AA2347"/>
    <w:rsid w:val="00AA2399"/>
    <w:rsid w:val="00AA45F1"/>
    <w:rsid w:val="00AB1381"/>
    <w:rsid w:val="00AB2847"/>
    <w:rsid w:val="00AB333D"/>
    <w:rsid w:val="00AB7564"/>
    <w:rsid w:val="00AB7D3A"/>
    <w:rsid w:val="00AB7F30"/>
    <w:rsid w:val="00AC0903"/>
    <w:rsid w:val="00AC19E5"/>
    <w:rsid w:val="00AC5E97"/>
    <w:rsid w:val="00AC6333"/>
    <w:rsid w:val="00AC6461"/>
    <w:rsid w:val="00AD1152"/>
    <w:rsid w:val="00AD24B2"/>
    <w:rsid w:val="00AD2FB4"/>
    <w:rsid w:val="00AD3903"/>
    <w:rsid w:val="00AD4D39"/>
    <w:rsid w:val="00AD511D"/>
    <w:rsid w:val="00AD522F"/>
    <w:rsid w:val="00AD6512"/>
    <w:rsid w:val="00AD713D"/>
    <w:rsid w:val="00AE10A1"/>
    <w:rsid w:val="00AE2C45"/>
    <w:rsid w:val="00AE2CC1"/>
    <w:rsid w:val="00AE2F5C"/>
    <w:rsid w:val="00AE56E8"/>
    <w:rsid w:val="00AE796F"/>
    <w:rsid w:val="00AF0DEF"/>
    <w:rsid w:val="00AF1550"/>
    <w:rsid w:val="00AF1DFE"/>
    <w:rsid w:val="00AF32E7"/>
    <w:rsid w:val="00AF3F35"/>
    <w:rsid w:val="00AF5610"/>
    <w:rsid w:val="00AF61C9"/>
    <w:rsid w:val="00AF6C20"/>
    <w:rsid w:val="00AF7A0D"/>
    <w:rsid w:val="00B0058C"/>
    <w:rsid w:val="00B00789"/>
    <w:rsid w:val="00B01661"/>
    <w:rsid w:val="00B076C3"/>
    <w:rsid w:val="00B0787B"/>
    <w:rsid w:val="00B10DC2"/>
    <w:rsid w:val="00B11332"/>
    <w:rsid w:val="00B118D5"/>
    <w:rsid w:val="00B11D70"/>
    <w:rsid w:val="00B16645"/>
    <w:rsid w:val="00B16660"/>
    <w:rsid w:val="00B16D88"/>
    <w:rsid w:val="00B172FD"/>
    <w:rsid w:val="00B219F6"/>
    <w:rsid w:val="00B21CEF"/>
    <w:rsid w:val="00B2443E"/>
    <w:rsid w:val="00B30962"/>
    <w:rsid w:val="00B30A0C"/>
    <w:rsid w:val="00B316BF"/>
    <w:rsid w:val="00B33242"/>
    <w:rsid w:val="00B3385F"/>
    <w:rsid w:val="00B348CC"/>
    <w:rsid w:val="00B34B4D"/>
    <w:rsid w:val="00B3764A"/>
    <w:rsid w:val="00B40FBA"/>
    <w:rsid w:val="00B43AD3"/>
    <w:rsid w:val="00B43FFC"/>
    <w:rsid w:val="00B45A63"/>
    <w:rsid w:val="00B5113F"/>
    <w:rsid w:val="00B515F6"/>
    <w:rsid w:val="00B5168E"/>
    <w:rsid w:val="00B539F0"/>
    <w:rsid w:val="00B54C9B"/>
    <w:rsid w:val="00B550DA"/>
    <w:rsid w:val="00B56B7E"/>
    <w:rsid w:val="00B573A2"/>
    <w:rsid w:val="00B57624"/>
    <w:rsid w:val="00B612FB"/>
    <w:rsid w:val="00B62C5F"/>
    <w:rsid w:val="00B64FF8"/>
    <w:rsid w:val="00B66106"/>
    <w:rsid w:val="00B66558"/>
    <w:rsid w:val="00B6709C"/>
    <w:rsid w:val="00B71319"/>
    <w:rsid w:val="00B717B5"/>
    <w:rsid w:val="00B73B1D"/>
    <w:rsid w:val="00B764F0"/>
    <w:rsid w:val="00B76744"/>
    <w:rsid w:val="00B81245"/>
    <w:rsid w:val="00B81B41"/>
    <w:rsid w:val="00B81FBC"/>
    <w:rsid w:val="00B837BD"/>
    <w:rsid w:val="00B838DC"/>
    <w:rsid w:val="00B8422B"/>
    <w:rsid w:val="00B84426"/>
    <w:rsid w:val="00B85F35"/>
    <w:rsid w:val="00B87C8B"/>
    <w:rsid w:val="00B9024A"/>
    <w:rsid w:val="00B90DB7"/>
    <w:rsid w:val="00B92A5A"/>
    <w:rsid w:val="00B93433"/>
    <w:rsid w:val="00B940CE"/>
    <w:rsid w:val="00B94284"/>
    <w:rsid w:val="00B95119"/>
    <w:rsid w:val="00B953E3"/>
    <w:rsid w:val="00B95642"/>
    <w:rsid w:val="00B978FA"/>
    <w:rsid w:val="00BA01E5"/>
    <w:rsid w:val="00BA0C02"/>
    <w:rsid w:val="00BA1381"/>
    <w:rsid w:val="00BA204D"/>
    <w:rsid w:val="00BA2E65"/>
    <w:rsid w:val="00BA5B67"/>
    <w:rsid w:val="00BA5CB3"/>
    <w:rsid w:val="00BA7979"/>
    <w:rsid w:val="00BB00A2"/>
    <w:rsid w:val="00BB026B"/>
    <w:rsid w:val="00BB2DDA"/>
    <w:rsid w:val="00BB6186"/>
    <w:rsid w:val="00BC0446"/>
    <w:rsid w:val="00BC0BC5"/>
    <w:rsid w:val="00BC19D9"/>
    <w:rsid w:val="00BC1B4F"/>
    <w:rsid w:val="00BC2CFB"/>
    <w:rsid w:val="00BC31FF"/>
    <w:rsid w:val="00BC3860"/>
    <w:rsid w:val="00BC59DC"/>
    <w:rsid w:val="00BC5B69"/>
    <w:rsid w:val="00BC679D"/>
    <w:rsid w:val="00BD1B2F"/>
    <w:rsid w:val="00BD24B8"/>
    <w:rsid w:val="00BD2ECB"/>
    <w:rsid w:val="00BD3509"/>
    <w:rsid w:val="00BD532E"/>
    <w:rsid w:val="00BD6313"/>
    <w:rsid w:val="00BD6D8F"/>
    <w:rsid w:val="00BD7A3D"/>
    <w:rsid w:val="00BE00F7"/>
    <w:rsid w:val="00BE128E"/>
    <w:rsid w:val="00BE18A8"/>
    <w:rsid w:val="00BE29C3"/>
    <w:rsid w:val="00BE3D8C"/>
    <w:rsid w:val="00BE4132"/>
    <w:rsid w:val="00BE43C7"/>
    <w:rsid w:val="00BE48A6"/>
    <w:rsid w:val="00BE5014"/>
    <w:rsid w:val="00BF0660"/>
    <w:rsid w:val="00BF112C"/>
    <w:rsid w:val="00BF218D"/>
    <w:rsid w:val="00BF21F6"/>
    <w:rsid w:val="00BF24A5"/>
    <w:rsid w:val="00BF2953"/>
    <w:rsid w:val="00BF362C"/>
    <w:rsid w:val="00BF44CF"/>
    <w:rsid w:val="00BF5E85"/>
    <w:rsid w:val="00C01B66"/>
    <w:rsid w:val="00C02C24"/>
    <w:rsid w:val="00C02D60"/>
    <w:rsid w:val="00C06717"/>
    <w:rsid w:val="00C06A1F"/>
    <w:rsid w:val="00C12555"/>
    <w:rsid w:val="00C15055"/>
    <w:rsid w:val="00C16BA9"/>
    <w:rsid w:val="00C16C40"/>
    <w:rsid w:val="00C229F2"/>
    <w:rsid w:val="00C24208"/>
    <w:rsid w:val="00C2454F"/>
    <w:rsid w:val="00C260DB"/>
    <w:rsid w:val="00C3041F"/>
    <w:rsid w:val="00C3154D"/>
    <w:rsid w:val="00C372D1"/>
    <w:rsid w:val="00C37F4E"/>
    <w:rsid w:val="00C400EF"/>
    <w:rsid w:val="00C43315"/>
    <w:rsid w:val="00C4551E"/>
    <w:rsid w:val="00C4795E"/>
    <w:rsid w:val="00C50641"/>
    <w:rsid w:val="00C50F47"/>
    <w:rsid w:val="00C520CA"/>
    <w:rsid w:val="00C52EF3"/>
    <w:rsid w:val="00C55E35"/>
    <w:rsid w:val="00C56705"/>
    <w:rsid w:val="00C567AD"/>
    <w:rsid w:val="00C56D6B"/>
    <w:rsid w:val="00C57295"/>
    <w:rsid w:val="00C5729A"/>
    <w:rsid w:val="00C57670"/>
    <w:rsid w:val="00C61D0C"/>
    <w:rsid w:val="00C64604"/>
    <w:rsid w:val="00C66D01"/>
    <w:rsid w:val="00C67A69"/>
    <w:rsid w:val="00C70327"/>
    <w:rsid w:val="00C7050C"/>
    <w:rsid w:val="00C72DE2"/>
    <w:rsid w:val="00C734BB"/>
    <w:rsid w:val="00C75C33"/>
    <w:rsid w:val="00C765AF"/>
    <w:rsid w:val="00C80DF7"/>
    <w:rsid w:val="00C81B62"/>
    <w:rsid w:val="00C82860"/>
    <w:rsid w:val="00C8473A"/>
    <w:rsid w:val="00C84F47"/>
    <w:rsid w:val="00C8503A"/>
    <w:rsid w:val="00C856FF"/>
    <w:rsid w:val="00C86DAD"/>
    <w:rsid w:val="00C8766E"/>
    <w:rsid w:val="00C8787A"/>
    <w:rsid w:val="00C90D53"/>
    <w:rsid w:val="00C91F23"/>
    <w:rsid w:val="00C91F64"/>
    <w:rsid w:val="00C924C9"/>
    <w:rsid w:val="00C927EF"/>
    <w:rsid w:val="00C936E0"/>
    <w:rsid w:val="00C93D35"/>
    <w:rsid w:val="00C94D6D"/>
    <w:rsid w:val="00C97C73"/>
    <w:rsid w:val="00C97EB0"/>
    <w:rsid w:val="00CA03FE"/>
    <w:rsid w:val="00CA094A"/>
    <w:rsid w:val="00CA0ED9"/>
    <w:rsid w:val="00CA0EF7"/>
    <w:rsid w:val="00CA20B8"/>
    <w:rsid w:val="00CA490E"/>
    <w:rsid w:val="00CA54DD"/>
    <w:rsid w:val="00CA56A0"/>
    <w:rsid w:val="00CA659E"/>
    <w:rsid w:val="00CA6B80"/>
    <w:rsid w:val="00CA6FA4"/>
    <w:rsid w:val="00CA751D"/>
    <w:rsid w:val="00CA789E"/>
    <w:rsid w:val="00CB0AF7"/>
    <w:rsid w:val="00CB0BBB"/>
    <w:rsid w:val="00CB0F04"/>
    <w:rsid w:val="00CB254F"/>
    <w:rsid w:val="00CB26B4"/>
    <w:rsid w:val="00CB2A5A"/>
    <w:rsid w:val="00CB35CD"/>
    <w:rsid w:val="00CB42AF"/>
    <w:rsid w:val="00CB4A57"/>
    <w:rsid w:val="00CB59E4"/>
    <w:rsid w:val="00CB67C4"/>
    <w:rsid w:val="00CB6B69"/>
    <w:rsid w:val="00CB6C2C"/>
    <w:rsid w:val="00CB77ED"/>
    <w:rsid w:val="00CC05C3"/>
    <w:rsid w:val="00CC1530"/>
    <w:rsid w:val="00CC2CD2"/>
    <w:rsid w:val="00CC3405"/>
    <w:rsid w:val="00CC3623"/>
    <w:rsid w:val="00CC52A6"/>
    <w:rsid w:val="00CC5B48"/>
    <w:rsid w:val="00CC6A15"/>
    <w:rsid w:val="00CD28B9"/>
    <w:rsid w:val="00CD5B8A"/>
    <w:rsid w:val="00CD5E58"/>
    <w:rsid w:val="00CD7610"/>
    <w:rsid w:val="00CE0AEB"/>
    <w:rsid w:val="00CE2E84"/>
    <w:rsid w:val="00CE4191"/>
    <w:rsid w:val="00CE794E"/>
    <w:rsid w:val="00CF05E0"/>
    <w:rsid w:val="00CF2C28"/>
    <w:rsid w:val="00CF330D"/>
    <w:rsid w:val="00CF346E"/>
    <w:rsid w:val="00CF4E9C"/>
    <w:rsid w:val="00CF50E4"/>
    <w:rsid w:val="00CF7531"/>
    <w:rsid w:val="00D001A2"/>
    <w:rsid w:val="00D00FA1"/>
    <w:rsid w:val="00D01C2E"/>
    <w:rsid w:val="00D0264D"/>
    <w:rsid w:val="00D02FB9"/>
    <w:rsid w:val="00D03F6F"/>
    <w:rsid w:val="00D06254"/>
    <w:rsid w:val="00D11951"/>
    <w:rsid w:val="00D12FE3"/>
    <w:rsid w:val="00D13A87"/>
    <w:rsid w:val="00D14B73"/>
    <w:rsid w:val="00D1561C"/>
    <w:rsid w:val="00D158E1"/>
    <w:rsid w:val="00D159B5"/>
    <w:rsid w:val="00D17000"/>
    <w:rsid w:val="00D178C5"/>
    <w:rsid w:val="00D22237"/>
    <w:rsid w:val="00D224E4"/>
    <w:rsid w:val="00D242AC"/>
    <w:rsid w:val="00D24347"/>
    <w:rsid w:val="00D24D5A"/>
    <w:rsid w:val="00D255AD"/>
    <w:rsid w:val="00D25D90"/>
    <w:rsid w:val="00D26266"/>
    <w:rsid w:val="00D26515"/>
    <w:rsid w:val="00D2651D"/>
    <w:rsid w:val="00D27F9E"/>
    <w:rsid w:val="00D27FE6"/>
    <w:rsid w:val="00D312EC"/>
    <w:rsid w:val="00D324A8"/>
    <w:rsid w:val="00D33AF5"/>
    <w:rsid w:val="00D36463"/>
    <w:rsid w:val="00D414FB"/>
    <w:rsid w:val="00D41B17"/>
    <w:rsid w:val="00D4245C"/>
    <w:rsid w:val="00D42675"/>
    <w:rsid w:val="00D44978"/>
    <w:rsid w:val="00D44F7C"/>
    <w:rsid w:val="00D46268"/>
    <w:rsid w:val="00D4667E"/>
    <w:rsid w:val="00D47AF1"/>
    <w:rsid w:val="00D50E35"/>
    <w:rsid w:val="00D51D38"/>
    <w:rsid w:val="00D52503"/>
    <w:rsid w:val="00D53A75"/>
    <w:rsid w:val="00D54A4E"/>
    <w:rsid w:val="00D565A9"/>
    <w:rsid w:val="00D5787F"/>
    <w:rsid w:val="00D60823"/>
    <w:rsid w:val="00D61620"/>
    <w:rsid w:val="00D63840"/>
    <w:rsid w:val="00D64173"/>
    <w:rsid w:val="00D65979"/>
    <w:rsid w:val="00D65CB4"/>
    <w:rsid w:val="00D66CB7"/>
    <w:rsid w:val="00D71D80"/>
    <w:rsid w:val="00D756A0"/>
    <w:rsid w:val="00D75E31"/>
    <w:rsid w:val="00D77071"/>
    <w:rsid w:val="00D80603"/>
    <w:rsid w:val="00D80D10"/>
    <w:rsid w:val="00D80E04"/>
    <w:rsid w:val="00D8132A"/>
    <w:rsid w:val="00D82B10"/>
    <w:rsid w:val="00D82B58"/>
    <w:rsid w:val="00D84138"/>
    <w:rsid w:val="00D870B8"/>
    <w:rsid w:val="00D9012F"/>
    <w:rsid w:val="00D95060"/>
    <w:rsid w:val="00D9580A"/>
    <w:rsid w:val="00D95CF7"/>
    <w:rsid w:val="00D96222"/>
    <w:rsid w:val="00DA0C2B"/>
    <w:rsid w:val="00DA3AAD"/>
    <w:rsid w:val="00DA4BB9"/>
    <w:rsid w:val="00DA6EF1"/>
    <w:rsid w:val="00DA7364"/>
    <w:rsid w:val="00DA78EE"/>
    <w:rsid w:val="00DA7FB7"/>
    <w:rsid w:val="00DB07E1"/>
    <w:rsid w:val="00DB1BFF"/>
    <w:rsid w:val="00DB3C89"/>
    <w:rsid w:val="00DB40C7"/>
    <w:rsid w:val="00DB46DC"/>
    <w:rsid w:val="00DB4868"/>
    <w:rsid w:val="00DB4ACE"/>
    <w:rsid w:val="00DB77BE"/>
    <w:rsid w:val="00DC2B81"/>
    <w:rsid w:val="00DC2E4E"/>
    <w:rsid w:val="00DC37CC"/>
    <w:rsid w:val="00DC3B75"/>
    <w:rsid w:val="00DC3D95"/>
    <w:rsid w:val="00DC693A"/>
    <w:rsid w:val="00DC6FE7"/>
    <w:rsid w:val="00DC7FB9"/>
    <w:rsid w:val="00DD0384"/>
    <w:rsid w:val="00DD07B1"/>
    <w:rsid w:val="00DD098D"/>
    <w:rsid w:val="00DD17A9"/>
    <w:rsid w:val="00DD1A43"/>
    <w:rsid w:val="00DD2DFD"/>
    <w:rsid w:val="00DD4AA0"/>
    <w:rsid w:val="00DD543B"/>
    <w:rsid w:val="00DD54BE"/>
    <w:rsid w:val="00DD786D"/>
    <w:rsid w:val="00DD7941"/>
    <w:rsid w:val="00DD795A"/>
    <w:rsid w:val="00DE1A4D"/>
    <w:rsid w:val="00DE3FE4"/>
    <w:rsid w:val="00DE4D71"/>
    <w:rsid w:val="00DE51A6"/>
    <w:rsid w:val="00DE5285"/>
    <w:rsid w:val="00DE5C9A"/>
    <w:rsid w:val="00DE66AD"/>
    <w:rsid w:val="00DE6B36"/>
    <w:rsid w:val="00DE77B1"/>
    <w:rsid w:val="00DF0AA0"/>
    <w:rsid w:val="00DF19E5"/>
    <w:rsid w:val="00DF1C4D"/>
    <w:rsid w:val="00DF1E54"/>
    <w:rsid w:val="00DF289C"/>
    <w:rsid w:val="00DF2D01"/>
    <w:rsid w:val="00DF3070"/>
    <w:rsid w:val="00DF47DB"/>
    <w:rsid w:val="00DF582C"/>
    <w:rsid w:val="00DF7956"/>
    <w:rsid w:val="00E00409"/>
    <w:rsid w:val="00E01C43"/>
    <w:rsid w:val="00E01DCD"/>
    <w:rsid w:val="00E02D09"/>
    <w:rsid w:val="00E05D14"/>
    <w:rsid w:val="00E05FE9"/>
    <w:rsid w:val="00E11DF7"/>
    <w:rsid w:val="00E1294B"/>
    <w:rsid w:val="00E141A4"/>
    <w:rsid w:val="00E176B2"/>
    <w:rsid w:val="00E2031F"/>
    <w:rsid w:val="00E219F6"/>
    <w:rsid w:val="00E22295"/>
    <w:rsid w:val="00E22663"/>
    <w:rsid w:val="00E239CD"/>
    <w:rsid w:val="00E26BD6"/>
    <w:rsid w:val="00E27CAE"/>
    <w:rsid w:val="00E315D5"/>
    <w:rsid w:val="00E34AF5"/>
    <w:rsid w:val="00E34D4D"/>
    <w:rsid w:val="00E35314"/>
    <w:rsid w:val="00E36E56"/>
    <w:rsid w:val="00E376A6"/>
    <w:rsid w:val="00E406B4"/>
    <w:rsid w:val="00E41055"/>
    <w:rsid w:val="00E41502"/>
    <w:rsid w:val="00E43433"/>
    <w:rsid w:val="00E44040"/>
    <w:rsid w:val="00E441B4"/>
    <w:rsid w:val="00E44833"/>
    <w:rsid w:val="00E450A4"/>
    <w:rsid w:val="00E4588D"/>
    <w:rsid w:val="00E47D2A"/>
    <w:rsid w:val="00E51927"/>
    <w:rsid w:val="00E51C20"/>
    <w:rsid w:val="00E56AC2"/>
    <w:rsid w:val="00E57795"/>
    <w:rsid w:val="00E60B4F"/>
    <w:rsid w:val="00E62450"/>
    <w:rsid w:val="00E6339E"/>
    <w:rsid w:val="00E652D9"/>
    <w:rsid w:val="00E658DA"/>
    <w:rsid w:val="00E704A7"/>
    <w:rsid w:val="00E70613"/>
    <w:rsid w:val="00E70E35"/>
    <w:rsid w:val="00E72BD5"/>
    <w:rsid w:val="00E73A4E"/>
    <w:rsid w:val="00E74181"/>
    <w:rsid w:val="00E74BB5"/>
    <w:rsid w:val="00E75F53"/>
    <w:rsid w:val="00E81317"/>
    <w:rsid w:val="00E817D2"/>
    <w:rsid w:val="00E85104"/>
    <w:rsid w:val="00E8563B"/>
    <w:rsid w:val="00E87BEC"/>
    <w:rsid w:val="00E87D69"/>
    <w:rsid w:val="00E9008D"/>
    <w:rsid w:val="00E90795"/>
    <w:rsid w:val="00E91963"/>
    <w:rsid w:val="00E91966"/>
    <w:rsid w:val="00E93536"/>
    <w:rsid w:val="00E97F50"/>
    <w:rsid w:val="00EA06AF"/>
    <w:rsid w:val="00EA30C1"/>
    <w:rsid w:val="00EA39AD"/>
    <w:rsid w:val="00EA693F"/>
    <w:rsid w:val="00EA6E9E"/>
    <w:rsid w:val="00EA71AE"/>
    <w:rsid w:val="00EB0B16"/>
    <w:rsid w:val="00EB137F"/>
    <w:rsid w:val="00EB4384"/>
    <w:rsid w:val="00EB5B30"/>
    <w:rsid w:val="00EB7A5A"/>
    <w:rsid w:val="00EC0C54"/>
    <w:rsid w:val="00EC4312"/>
    <w:rsid w:val="00EC4F3A"/>
    <w:rsid w:val="00EC5CE7"/>
    <w:rsid w:val="00EC7E87"/>
    <w:rsid w:val="00ED02A3"/>
    <w:rsid w:val="00ED1EEF"/>
    <w:rsid w:val="00ED2184"/>
    <w:rsid w:val="00ED2ADA"/>
    <w:rsid w:val="00ED2CDF"/>
    <w:rsid w:val="00ED3D84"/>
    <w:rsid w:val="00ED4DA2"/>
    <w:rsid w:val="00ED4DAC"/>
    <w:rsid w:val="00ED66E0"/>
    <w:rsid w:val="00ED76A8"/>
    <w:rsid w:val="00ED78CB"/>
    <w:rsid w:val="00ED7AEF"/>
    <w:rsid w:val="00EE0265"/>
    <w:rsid w:val="00EE21EB"/>
    <w:rsid w:val="00EE301C"/>
    <w:rsid w:val="00EE391F"/>
    <w:rsid w:val="00EE6B31"/>
    <w:rsid w:val="00EF2598"/>
    <w:rsid w:val="00EF7F39"/>
    <w:rsid w:val="00F003B9"/>
    <w:rsid w:val="00F01D7F"/>
    <w:rsid w:val="00F01E8F"/>
    <w:rsid w:val="00F02F6B"/>
    <w:rsid w:val="00F03172"/>
    <w:rsid w:val="00F04222"/>
    <w:rsid w:val="00F10732"/>
    <w:rsid w:val="00F11632"/>
    <w:rsid w:val="00F12E31"/>
    <w:rsid w:val="00F131A0"/>
    <w:rsid w:val="00F1365C"/>
    <w:rsid w:val="00F16E31"/>
    <w:rsid w:val="00F174BE"/>
    <w:rsid w:val="00F20B21"/>
    <w:rsid w:val="00F24419"/>
    <w:rsid w:val="00F250D3"/>
    <w:rsid w:val="00F25FBA"/>
    <w:rsid w:val="00F25FCE"/>
    <w:rsid w:val="00F2623B"/>
    <w:rsid w:val="00F26853"/>
    <w:rsid w:val="00F30854"/>
    <w:rsid w:val="00F30D1A"/>
    <w:rsid w:val="00F315C7"/>
    <w:rsid w:val="00F31E54"/>
    <w:rsid w:val="00F3289D"/>
    <w:rsid w:val="00F32B66"/>
    <w:rsid w:val="00F337A8"/>
    <w:rsid w:val="00F35BDD"/>
    <w:rsid w:val="00F363D9"/>
    <w:rsid w:val="00F40098"/>
    <w:rsid w:val="00F40727"/>
    <w:rsid w:val="00F40D43"/>
    <w:rsid w:val="00F4152A"/>
    <w:rsid w:val="00F419AC"/>
    <w:rsid w:val="00F430C5"/>
    <w:rsid w:val="00F43B00"/>
    <w:rsid w:val="00F44167"/>
    <w:rsid w:val="00F44A26"/>
    <w:rsid w:val="00F4722C"/>
    <w:rsid w:val="00F47D2D"/>
    <w:rsid w:val="00F5108E"/>
    <w:rsid w:val="00F51B9E"/>
    <w:rsid w:val="00F521DB"/>
    <w:rsid w:val="00F522EA"/>
    <w:rsid w:val="00F52392"/>
    <w:rsid w:val="00F52AD2"/>
    <w:rsid w:val="00F5401B"/>
    <w:rsid w:val="00F5426B"/>
    <w:rsid w:val="00F54967"/>
    <w:rsid w:val="00F62B25"/>
    <w:rsid w:val="00F6305A"/>
    <w:rsid w:val="00F63DC3"/>
    <w:rsid w:val="00F67884"/>
    <w:rsid w:val="00F70E4F"/>
    <w:rsid w:val="00F723AA"/>
    <w:rsid w:val="00F72EBD"/>
    <w:rsid w:val="00F7306A"/>
    <w:rsid w:val="00F731AF"/>
    <w:rsid w:val="00F73F1B"/>
    <w:rsid w:val="00F754C8"/>
    <w:rsid w:val="00F76658"/>
    <w:rsid w:val="00F82253"/>
    <w:rsid w:val="00F82BAE"/>
    <w:rsid w:val="00F8432A"/>
    <w:rsid w:val="00F84B70"/>
    <w:rsid w:val="00F8545D"/>
    <w:rsid w:val="00F855E8"/>
    <w:rsid w:val="00F85B65"/>
    <w:rsid w:val="00F875D0"/>
    <w:rsid w:val="00F9150D"/>
    <w:rsid w:val="00F9458E"/>
    <w:rsid w:val="00F96354"/>
    <w:rsid w:val="00FA0226"/>
    <w:rsid w:val="00FA0463"/>
    <w:rsid w:val="00FA0BB8"/>
    <w:rsid w:val="00FA0CBB"/>
    <w:rsid w:val="00FA135B"/>
    <w:rsid w:val="00FA1DFE"/>
    <w:rsid w:val="00FA2A8E"/>
    <w:rsid w:val="00FA3072"/>
    <w:rsid w:val="00FA4AB7"/>
    <w:rsid w:val="00FA7147"/>
    <w:rsid w:val="00FB06A4"/>
    <w:rsid w:val="00FB106C"/>
    <w:rsid w:val="00FB1478"/>
    <w:rsid w:val="00FB2BB4"/>
    <w:rsid w:val="00FB39AB"/>
    <w:rsid w:val="00FB5264"/>
    <w:rsid w:val="00FB541C"/>
    <w:rsid w:val="00FB69B9"/>
    <w:rsid w:val="00FC0814"/>
    <w:rsid w:val="00FC0987"/>
    <w:rsid w:val="00FC3A55"/>
    <w:rsid w:val="00FC3DE0"/>
    <w:rsid w:val="00FC5212"/>
    <w:rsid w:val="00FC521B"/>
    <w:rsid w:val="00FC73E8"/>
    <w:rsid w:val="00FC744A"/>
    <w:rsid w:val="00FD0494"/>
    <w:rsid w:val="00FD04EF"/>
    <w:rsid w:val="00FD1387"/>
    <w:rsid w:val="00FD27D2"/>
    <w:rsid w:val="00FD2855"/>
    <w:rsid w:val="00FD3927"/>
    <w:rsid w:val="00FD454B"/>
    <w:rsid w:val="00FD4F56"/>
    <w:rsid w:val="00FD5ED6"/>
    <w:rsid w:val="00FE1A04"/>
    <w:rsid w:val="00FE2277"/>
    <w:rsid w:val="00FE4DC6"/>
    <w:rsid w:val="00FE4E28"/>
    <w:rsid w:val="00FE71E1"/>
    <w:rsid w:val="00FF6700"/>
    <w:rsid w:val="00FF70C5"/>
    <w:rsid w:val="68F15D92"/>
  </w:rsids>
  <m:mathPr>
    <m:mathFont m:val="Cambria Math"/>
    <m:brkBin m:val="before"/>
    <m:brkBinSub m:val="--"/>
    <m:smallFrac/>
    <m:dispDef/>
    <m:lMargin m:val="0"/>
    <m:rMargin m:val="0"/>
    <m:defJc m:val="centerGroup"/>
    <m:wrapIndent m:val="1440"/>
    <m:intLim m:val="subSup"/>
    <m:naryLim m:val="undOvr"/>
  </m:mathPr>
  <w:themeFontLang w:val="gl-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5:docId w15:val="{4A348278-0AEB-4AE6-B0CA-CB671848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gl-ES" w:eastAsia="gl-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qFormat="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276"/>
      </w:tabs>
      <w:spacing w:before="100" w:beforeAutospacing="1" w:after="100" w:afterAutospacing="1" w:line="360" w:lineRule="auto"/>
      <w:ind w:right="-142"/>
      <w:jc w:val="both"/>
    </w:pPr>
    <w:rPr>
      <w:rFonts w:ascii="New Baskerville" w:hAnsi="New Baskerville"/>
      <w:sz w:val="22"/>
      <w:szCs w:val="22"/>
      <w:lang w:eastAsia="en-US"/>
    </w:rPr>
  </w:style>
  <w:style w:type="paragraph" w:styleId="Ttulo1">
    <w:name w:val="heading 1"/>
    <w:basedOn w:val="EstiloDocumentoSC"/>
    <w:next w:val="Normal"/>
    <w:link w:val="Ttulo1Car"/>
    <w:uiPriority w:val="9"/>
    <w:qFormat/>
    <w:pPr>
      <w:pBdr>
        <w:top w:val="single" w:sz="4" w:space="1" w:color="2C1C65"/>
      </w:pBdr>
      <w:tabs>
        <w:tab w:val="left" w:pos="-1951"/>
      </w:tabs>
      <w:spacing w:after="100" w:line="360" w:lineRule="auto"/>
      <w:outlineLvl w:val="0"/>
    </w:pPr>
    <w:rPr>
      <w:b w:val="0"/>
      <w:color w:val="2C1C65"/>
      <w:szCs w:val="28"/>
      <w:lang w:val="gl-ES"/>
    </w:rPr>
  </w:style>
  <w:style w:type="paragraph" w:styleId="Ttulo2">
    <w:name w:val="heading 2"/>
    <w:basedOn w:val="Normal"/>
    <w:next w:val="Normal"/>
    <w:link w:val="Ttulo2Car"/>
    <w:uiPriority w:val="9"/>
    <w:unhideWhenUsed/>
    <w:qFormat/>
    <w:pPr>
      <w:keepNext/>
      <w:keepLines/>
      <w:spacing w:before="200" w:after="0"/>
      <w:outlineLvl w:val="1"/>
    </w:pPr>
    <w:rPr>
      <w:rFonts w:eastAsiaTheme="majorEastAsia" w:cstheme="majorBidi"/>
      <w:bCs/>
      <w:color w:val="2C1C65"/>
      <w:sz w:val="28"/>
      <w:szCs w:val="26"/>
    </w:rPr>
  </w:style>
  <w:style w:type="paragraph" w:styleId="Ttulo3">
    <w:name w:val="heading 3"/>
    <w:basedOn w:val="Ttulo2"/>
    <w:next w:val="Normal"/>
    <w:link w:val="Ttulo3Car"/>
    <w:uiPriority w:val="9"/>
    <w:unhideWhenUsed/>
    <w:qFormat/>
    <w:pPr>
      <w:outlineLvl w:val="2"/>
    </w:pPr>
    <w:rPr>
      <w:sz w:val="26"/>
    </w:rPr>
  </w:style>
  <w:style w:type="paragraph" w:styleId="Ttulo4">
    <w:name w:val="heading 4"/>
    <w:basedOn w:val="Normal"/>
    <w:next w:val="Normal"/>
    <w:link w:val="Ttulo4C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DocumentoSC">
    <w:name w:val="Estilo_Documento SC"/>
    <w:basedOn w:val="Estilo3"/>
    <w:link w:val="EstiloDocumentoSCCar"/>
    <w:qFormat/>
  </w:style>
  <w:style w:type="paragraph" w:customStyle="1" w:styleId="Estilo3">
    <w:name w:val="Estilo3"/>
    <w:basedOn w:val="Estilo2"/>
    <w:link w:val="Estilo3Car"/>
    <w:qFormat/>
  </w:style>
  <w:style w:type="paragraph" w:customStyle="1" w:styleId="Estilo2">
    <w:name w:val="Estilo2"/>
    <w:basedOn w:val="Estilo1"/>
    <w:link w:val="Estilo2Car"/>
    <w:qFormat/>
    <w:rPr>
      <w:sz w:val="28"/>
    </w:rPr>
  </w:style>
  <w:style w:type="paragraph" w:customStyle="1" w:styleId="Estilo1">
    <w:name w:val="Estilo1"/>
    <w:basedOn w:val="Normal"/>
    <w:link w:val="Estilo1Car"/>
    <w:pPr>
      <w:spacing w:after="0" w:line="240" w:lineRule="auto"/>
    </w:pPr>
    <w:rPr>
      <w:b/>
      <w:sz w:val="36"/>
      <w:szCs w:val="36"/>
      <w:lang w:val="es-ES"/>
    </w:rPr>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000FF" w:themeColor="hyperlink"/>
      <w:u w:val="single"/>
    </w:rPr>
  </w:style>
  <w:style w:type="character" w:styleId="Hipervnculovisitado">
    <w:name w:val="FollowedHyperlink"/>
    <w:basedOn w:val="Fuentedeprrafopredeter"/>
    <w:uiPriority w:val="99"/>
    <w:semiHidden/>
    <w:unhideWhenUsed/>
    <w:qFormat/>
    <w:rPr>
      <w:color w:val="800080" w:themeColor="followedHyperlink"/>
      <w:u w:val="single"/>
    </w:rPr>
  </w:style>
  <w:style w:type="character" w:styleId="Nmerodepgina">
    <w:name w:val="page number"/>
    <w:basedOn w:val="Fuentedeprrafopredeter"/>
    <w:qFormat/>
  </w:style>
  <w:style w:type="character" w:styleId="Textoennegrita">
    <w:name w:val="Strong"/>
    <w:basedOn w:val="Fuentedeprrafopredeter"/>
    <w:uiPriority w:val="22"/>
    <w:qFormat/>
    <w:rPr>
      <w:b/>
      <w:bCs/>
    </w:rPr>
  </w:style>
  <w:style w:type="paragraph" w:styleId="TDC3">
    <w:name w:val="toc 3"/>
    <w:basedOn w:val="Normal"/>
    <w:next w:val="Normal"/>
    <w:uiPriority w:val="39"/>
    <w:unhideWhenUsed/>
    <w:qFormat/>
    <w:pPr>
      <w:spacing w:after="0"/>
      <w:ind w:left="440"/>
    </w:pPr>
  </w:style>
  <w:style w:type="paragraph" w:styleId="TDC9">
    <w:name w:val="toc 9"/>
    <w:basedOn w:val="Normal"/>
    <w:next w:val="Normal"/>
    <w:uiPriority w:val="39"/>
    <w:semiHidden/>
    <w:unhideWhenUsed/>
    <w:qFormat/>
    <w:pPr>
      <w:spacing w:after="0"/>
      <w:ind w:left="1760"/>
    </w:pPr>
    <w:rPr>
      <w:sz w:val="20"/>
      <w:szCs w:val="20"/>
    </w:rPr>
  </w:style>
  <w:style w:type="paragraph" w:styleId="TDC7">
    <w:name w:val="toc 7"/>
    <w:basedOn w:val="Normal"/>
    <w:next w:val="Normal"/>
    <w:uiPriority w:val="39"/>
    <w:semiHidden/>
    <w:unhideWhenUsed/>
    <w:qFormat/>
    <w:pPr>
      <w:spacing w:after="0"/>
      <w:ind w:left="1320"/>
    </w:pPr>
    <w:rPr>
      <w:sz w:val="20"/>
      <w:szCs w:val="20"/>
    </w:rPr>
  </w:style>
  <w:style w:type="paragraph" w:styleId="TDC1">
    <w:name w:val="toc 1"/>
    <w:basedOn w:val="Normal"/>
    <w:next w:val="Normal"/>
    <w:uiPriority w:val="39"/>
    <w:unhideWhenUsed/>
    <w:qFormat/>
    <w:rsid w:val="00C06A1F"/>
    <w:pPr>
      <w:spacing w:before="120" w:after="0"/>
    </w:pPr>
    <w:rPr>
      <w:sz w:val="24"/>
      <w:szCs w:val="24"/>
    </w:rPr>
  </w:style>
  <w:style w:type="paragraph" w:styleId="TDC8">
    <w:name w:val="toc 8"/>
    <w:basedOn w:val="Normal"/>
    <w:next w:val="Normal"/>
    <w:uiPriority w:val="39"/>
    <w:semiHidden/>
    <w:unhideWhenUsed/>
    <w:qFormat/>
    <w:pPr>
      <w:spacing w:after="0"/>
      <w:ind w:left="1540"/>
    </w:pPr>
    <w:rPr>
      <w:sz w:val="20"/>
      <w:szCs w:val="20"/>
    </w:rPr>
  </w:style>
  <w:style w:type="paragraph" w:styleId="TDC2">
    <w:name w:val="toc 2"/>
    <w:basedOn w:val="Normal"/>
    <w:next w:val="Normal"/>
    <w:uiPriority w:val="39"/>
    <w:unhideWhenUsed/>
    <w:qFormat/>
    <w:pPr>
      <w:spacing w:after="0"/>
      <w:ind w:left="220"/>
    </w:pPr>
    <w:rPr>
      <w:b/>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DC6">
    <w:name w:val="toc 6"/>
    <w:basedOn w:val="Normal"/>
    <w:next w:val="Normal"/>
    <w:uiPriority w:val="39"/>
    <w:semiHidden/>
    <w:unhideWhenUsed/>
    <w:qFormat/>
    <w:pPr>
      <w:spacing w:after="0"/>
      <w:ind w:left="1100"/>
    </w:pPr>
    <w:rPr>
      <w:sz w:val="20"/>
      <w:szCs w:val="20"/>
    </w:rPr>
  </w:style>
  <w:style w:type="paragraph" w:styleId="TDC5">
    <w:name w:val="toc 5"/>
    <w:basedOn w:val="Normal"/>
    <w:next w:val="Normal"/>
    <w:uiPriority w:val="39"/>
    <w:semiHidden/>
    <w:unhideWhenUsed/>
    <w:qFormat/>
    <w:pPr>
      <w:spacing w:after="0"/>
      <w:ind w:left="880"/>
    </w:pPr>
    <w:rPr>
      <w:sz w:val="20"/>
      <w:szCs w:val="20"/>
    </w:rPr>
  </w:style>
  <w:style w:type="paragraph" w:styleId="TDC4">
    <w:name w:val="toc 4"/>
    <w:basedOn w:val="Normal"/>
    <w:next w:val="Normal"/>
    <w:uiPriority w:val="39"/>
    <w:semiHidden/>
    <w:unhideWhenUsed/>
    <w:qFormat/>
    <w:pPr>
      <w:spacing w:after="0"/>
      <w:ind w:left="660"/>
    </w:pPr>
    <w:rPr>
      <w:sz w:val="20"/>
      <w:szCs w:val="20"/>
    </w:rPr>
  </w:style>
  <w:style w:type="paragraph" w:styleId="Textoindependiente2">
    <w:name w:val="Body Text 2"/>
    <w:basedOn w:val="Normal"/>
    <w:link w:val="Textoindependiente2Car"/>
    <w:uiPriority w:val="99"/>
    <w:semiHidden/>
    <w:unhideWhenUsed/>
    <w:qFormat/>
    <w:pPr>
      <w:spacing w:after="120" w:line="480" w:lineRule="auto"/>
    </w:p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paragraph" w:styleId="Sangra3detindependiente">
    <w:name w:val="Body Text Indent 3"/>
    <w:basedOn w:val="Normal"/>
    <w:link w:val="Sangra3detindependienteCar"/>
    <w:uiPriority w:val="99"/>
    <w:semiHidden/>
    <w:unhideWhenUsed/>
    <w:qFormat/>
    <w:pPr>
      <w:spacing w:after="120"/>
      <w:ind w:left="283"/>
    </w:pPr>
    <w:rPr>
      <w:sz w:val="16"/>
      <w:szCs w:val="16"/>
    </w:rPr>
  </w:style>
  <w:style w:type="paragraph" w:styleId="NormalWeb">
    <w:name w:val="Normal (Web)"/>
    <w:basedOn w:val="Normal"/>
    <w:uiPriority w:val="99"/>
    <w:semiHidden/>
    <w:unhideWhenUsed/>
    <w:qFormat/>
    <w:pPr>
      <w:tabs>
        <w:tab w:val="clear" w:pos="1276"/>
      </w:tabs>
      <w:spacing w:line="240" w:lineRule="auto"/>
      <w:ind w:right="0"/>
      <w:jc w:val="left"/>
    </w:pPr>
    <w:rPr>
      <w:rFonts w:ascii="Times New Roman" w:eastAsiaTheme="minorEastAsia" w:hAnsi="Times New Roman" w:cs="Times New Roman"/>
      <w:sz w:val="24"/>
      <w:szCs w:val="24"/>
      <w:lang w:eastAsia="gl-ES"/>
    </w:r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paragraph" w:styleId="Textoindependiente3">
    <w:name w:val="Body Text 3"/>
    <w:basedOn w:val="Normal"/>
    <w:link w:val="Textoindependiente3Car"/>
    <w:uiPriority w:val="99"/>
    <w:unhideWhenUsed/>
    <w:qFormat/>
    <w:pPr>
      <w:spacing w:after="120"/>
    </w:pPr>
    <w:rPr>
      <w:sz w:val="16"/>
      <w:szCs w:val="16"/>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robateur">
    <w:name w:val="Approbateur"/>
    <w:basedOn w:val="Normal"/>
    <w:qFormat/>
    <w:pPr>
      <w:spacing w:after="0" w:line="240" w:lineRule="auto"/>
      <w:jc w:val="center"/>
    </w:pPr>
    <w:rPr>
      <w:rFonts w:ascii="Arial" w:eastAsia="Times New Roman" w:hAnsi="Arial" w:cs="Arial"/>
      <w:sz w:val="20"/>
      <w:szCs w:val="24"/>
      <w:lang w:val="fr-FR" w:eastAsia="fr-FR"/>
    </w:rPr>
  </w:style>
  <w:style w:type="paragraph" w:customStyle="1" w:styleId="Rdacteur">
    <w:name w:val="Rédacteur"/>
    <w:basedOn w:val="Normal"/>
    <w:qFormat/>
    <w:pPr>
      <w:spacing w:after="0" w:line="240" w:lineRule="auto"/>
      <w:jc w:val="center"/>
    </w:pPr>
    <w:rPr>
      <w:rFonts w:ascii="Arial" w:eastAsia="Times New Roman" w:hAnsi="Arial" w:cs="Arial"/>
      <w:sz w:val="20"/>
      <w:szCs w:val="24"/>
      <w:lang w:val="fr-FR" w:eastAsia="fr-FR"/>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Sinespaciado">
    <w:name w:val="No Spacing"/>
    <w:link w:val="SinespaciadoCar"/>
    <w:uiPriority w:val="1"/>
    <w:qFormat/>
    <w:rPr>
      <w:rFonts w:eastAsiaTheme="minorEastAsia"/>
      <w:sz w:val="22"/>
      <w:szCs w:val="22"/>
    </w:rPr>
  </w:style>
  <w:style w:type="character" w:customStyle="1" w:styleId="SinespaciadoCar">
    <w:name w:val="Sin espaciado Car"/>
    <w:basedOn w:val="Fuentedeprrafopredeter"/>
    <w:link w:val="Sinespaciado"/>
    <w:uiPriority w:val="1"/>
    <w:rPr>
      <w:rFonts w:eastAsiaTheme="minorEastAsia"/>
      <w:lang w:eastAsia="gl-ES"/>
    </w:rPr>
  </w:style>
  <w:style w:type="paragraph" w:styleId="Prrafodelista">
    <w:name w:val="List Paragraph"/>
    <w:basedOn w:val="Normal"/>
    <w:link w:val="PrrafodelistaCar"/>
    <w:uiPriority w:val="34"/>
    <w:qFormat/>
    <w:pPr>
      <w:ind w:left="720"/>
      <w:contextualSpacing/>
    </w:pPr>
  </w:style>
  <w:style w:type="character" w:customStyle="1" w:styleId="Textoindependiente2Car">
    <w:name w:val="Texto independiente 2 Car"/>
    <w:basedOn w:val="Fuentedeprrafopredeter"/>
    <w:link w:val="Textoindependiente2"/>
    <w:uiPriority w:val="99"/>
    <w:semiHidden/>
    <w:qFormat/>
  </w:style>
  <w:style w:type="character" w:customStyle="1" w:styleId="Textoindependiente3Car">
    <w:name w:val="Texto independiente 3 Car"/>
    <w:basedOn w:val="Fuentedeprrafopredeter"/>
    <w:link w:val="Textoindependiente3"/>
    <w:uiPriority w:val="99"/>
    <w:qFormat/>
    <w:rPr>
      <w:sz w:val="16"/>
      <w:szCs w:val="16"/>
    </w:rPr>
  </w:style>
  <w:style w:type="character" w:customStyle="1" w:styleId="Sangra3detindependienteCar">
    <w:name w:val="Sangría 3 de t. independiente Car"/>
    <w:basedOn w:val="Fuentedeprrafopredeter"/>
    <w:link w:val="Sangra3detindependiente"/>
    <w:uiPriority w:val="99"/>
    <w:semiHidden/>
    <w:qFormat/>
    <w:rPr>
      <w:sz w:val="16"/>
      <w:szCs w:val="16"/>
    </w:rPr>
  </w:style>
  <w:style w:type="table" w:styleId="Sombreadoclaro-nfasis1">
    <w:name w:val="Light Shading Accent 1"/>
    <w:basedOn w:val="Tabla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qFormat/>
    <w:rPr>
      <w:color w:val="808080"/>
    </w:rPr>
  </w:style>
  <w:style w:type="character" w:customStyle="1" w:styleId="Estilo1Car">
    <w:name w:val="Estilo1 Car"/>
    <w:basedOn w:val="Fuentedeprrafopredeter"/>
    <w:link w:val="Estilo1"/>
    <w:qFormat/>
    <w:rPr>
      <w:b/>
      <w:sz w:val="36"/>
      <w:szCs w:val="36"/>
      <w:lang w:val="es-ES"/>
    </w:rPr>
  </w:style>
  <w:style w:type="character" w:customStyle="1" w:styleId="Estilo2Car">
    <w:name w:val="Estilo2 Car"/>
    <w:basedOn w:val="Estilo1Car"/>
    <w:link w:val="Estilo2"/>
    <w:qFormat/>
    <w:rPr>
      <w:b/>
      <w:sz w:val="28"/>
      <w:szCs w:val="36"/>
      <w:lang w:val="es-ES"/>
    </w:rPr>
  </w:style>
  <w:style w:type="character" w:customStyle="1" w:styleId="Estilo3Car">
    <w:name w:val="Estilo3 Car"/>
    <w:basedOn w:val="Estilo2Car"/>
    <w:link w:val="Estilo3"/>
    <w:qFormat/>
    <w:rPr>
      <w:b/>
      <w:sz w:val="28"/>
      <w:szCs w:val="36"/>
      <w:lang w:val="es-ES"/>
    </w:rPr>
  </w:style>
  <w:style w:type="paragraph" w:customStyle="1" w:styleId="Estilo4">
    <w:name w:val="Estilo4"/>
    <w:basedOn w:val="EstiloDocumentoSC"/>
    <w:link w:val="Estilo4Car"/>
    <w:qFormat/>
    <w:rPr>
      <w:sz w:val="24"/>
    </w:rPr>
  </w:style>
  <w:style w:type="character" w:customStyle="1" w:styleId="EstiloDocumentoSCCar">
    <w:name w:val="Estilo_Documento SC Car"/>
    <w:basedOn w:val="Estilo3Car"/>
    <w:link w:val="EstiloDocumentoSC"/>
    <w:qFormat/>
    <w:rPr>
      <w:b/>
      <w:sz w:val="28"/>
      <w:szCs w:val="36"/>
      <w:lang w:val="es-ES"/>
    </w:rPr>
  </w:style>
  <w:style w:type="character" w:customStyle="1" w:styleId="Ttulo1Car">
    <w:name w:val="Título 1 Car"/>
    <w:basedOn w:val="Fuentedeprrafopredeter"/>
    <w:link w:val="Ttulo1"/>
    <w:uiPriority w:val="9"/>
    <w:qFormat/>
    <w:rPr>
      <w:rFonts w:ascii="New Baskerville" w:hAnsi="New Baskerville"/>
      <w:color w:val="2C1C65"/>
      <w:sz w:val="28"/>
      <w:szCs w:val="28"/>
    </w:rPr>
  </w:style>
  <w:style w:type="character" w:customStyle="1" w:styleId="Estilo4Car">
    <w:name w:val="Estilo4 Car"/>
    <w:basedOn w:val="EstiloDocumentoSCCar"/>
    <w:link w:val="Estilo4"/>
    <w:qFormat/>
    <w:rPr>
      <w:b/>
      <w:sz w:val="24"/>
      <w:szCs w:val="36"/>
      <w:lang w:val="es-ES"/>
    </w:rPr>
  </w:style>
  <w:style w:type="paragraph" w:customStyle="1" w:styleId="TtuloTDC1">
    <w:name w:val="Título TDC1"/>
    <w:basedOn w:val="Ttulo1"/>
    <w:next w:val="Normal"/>
    <w:uiPriority w:val="39"/>
    <w:unhideWhenUsed/>
    <w:qFormat/>
    <w:pPr>
      <w:outlineLvl w:val="9"/>
    </w:pPr>
    <w:rPr>
      <w:lang w:eastAsia="gl-ES"/>
    </w:rPr>
  </w:style>
  <w:style w:type="character" w:customStyle="1" w:styleId="Ttulo2Car">
    <w:name w:val="Título 2 Car"/>
    <w:basedOn w:val="Fuentedeprrafopredeter"/>
    <w:link w:val="Ttulo2"/>
    <w:uiPriority w:val="9"/>
    <w:qFormat/>
    <w:rPr>
      <w:rFonts w:ascii="New Baskerville" w:eastAsiaTheme="majorEastAsia" w:hAnsi="New Baskerville" w:cstheme="majorBidi"/>
      <w:bCs/>
      <w:color w:val="2C1C65"/>
      <w:sz w:val="28"/>
      <w:szCs w:val="26"/>
    </w:rPr>
  </w:style>
  <w:style w:type="character" w:customStyle="1" w:styleId="Ttulo3Car">
    <w:name w:val="Título 3 Car"/>
    <w:basedOn w:val="Fuentedeprrafopredeter"/>
    <w:link w:val="Ttulo3"/>
    <w:uiPriority w:val="9"/>
    <w:qFormat/>
    <w:rPr>
      <w:rFonts w:ascii="New Baskerville" w:eastAsiaTheme="majorEastAsia" w:hAnsi="New Baskerville" w:cstheme="majorBidi"/>
      <w:bCs/>
      <w:color w:val="2C1C65"/>
      <w:sz w:val="26"/>
      <w:szCs w:val="26"/>
    </w:rPr>
  </w:style>
  <w:style w:type="paragraph" w:customStyle="1" w:styleId="Description3">
    <w:name w:val="Description 3"/>
    <w:basedOn w:val="Normal"/>
    <w:qFormat/>
    <w:pPr>
      <w:spacing w:after="0" w:line="240" w:lineRule="auto"/>
      <w:ind w:left="2340" w:hanging="283"/>
    </w:pPr>
    <w:rPr>
      <w:rFonts w:ascii="Arial" w:eastAsia="Times New Roman" w:hAnsi="Arial" w:cs="Arial"/>
      <w:sz w:val="20"/>
      <w:szCs w:val="24"/>
      <w:lang w:val="es-ES" w:eastAsia="fr-FR"/>
    </w:rPr>
  </w:style>
  <w:style w:type="paragraph" w:customStyle="1" w:styleId="Enderezo">
    <w:name w:val="Enderezo"/>
    <w:basedOn w:val="Normal"/>
    <w:link w:val="EnderezoCar"/>
    <w:qFormat/>
    <w:pPr>
      <w:framePr w:hSpace="141" w:wrap="around" w:vAnchor="text" w:hAnchor="page" w:x="550" w:y="96"/>
      <w:tabs>
        <w:tab w:val="left" w:pos="429"/>
        <w:tab w:val="center" w:pos="4252"/>
        <w:tab w:val="right" w:pos="8504"/>
        <w:tab w:val="right" w:pos="9674"/>
      </w:tabs>
      <w:spacing w:before="60" w:after="0" w:line="240" w:lineRule="auto"/>
      <w:ind w:left="-102"/>
      <w:contextualSpacing/>
      <w:jc w:val="left"/>
    </w:pPr>
    <w:rPr>
      <w:rFonts w:ascii="ITC New Baskerville Std" w:eastAsia="Cambria" w:hAnsi="ITC New Baskerville Std" w:cs="Times New Roman"/>
      <w:sz w:val="16"/>
      <w:szCs w:val="24"/>
    </w:rPr>
  </w:style>
  <w:style w:type="character" w:customStyle="1" w:styleId="EnderezoCar">
    <w:name w:val="Enderezo Car"/>
    <w:basedOn w:val="Fuentedeprrafopredeter"/>
    <w:link w:val="Enderezo"/>
    <w:qFormat/>
    <w:rPr>
      <w:rFonts w:ascii="ITC New Baskerville Std" w:eastAsia="Cambria" w:hAnsi="ITC New Baskerville Std" w:cs="Times New Roman"/>
      <w:sz w:val="16"/>
      <w:szCs w:val="24"/>
    </w:rPr>
  </w:style>
  <w:style w:type="paragraph" w:customStyle="1" w:styleId="logo">
    <w:name w:val="logo"/>
    <w:basedOn w:val="Encabezado"/>
    <w:qFormat/>
    <w:pPr>
      <w:framePr w:hSpace="141" w:wrap="around" w:vAnchor="text" w:hAnchor="page" w:x="550" w:y="96"/>
      <w:spacing w:before="60"/>
      <w:ind w:left="-30"/>
      <w:contextualSpacing/>
    </w:pPr>
    <w:rPr>
      <w:rFonts w:ascii="ITC New Baskerville Std" w:eastAsia="Cambria" w:hAnsi="ITC New Baskerville Std" w:cs="Times New Roman"/>
      <w:sz w:val="21"/>
      <w:szCs w:val="24"/>
    </w:rPr>
  </w:style>
  <w:style w:type="paragraph" w:customStyle="1" w:styleId="Enderezocomprimido">
    <w:name w:val="Enderezo_comprimido"/>
    <w:basedOn w:val="Enderezo"/>
    <w:qFormat/>
    <w:pPr>
      <w:framePr w:wrap="around"/>
    </w:pPr>
    <w:rPr>
      <w:spacing w:val="-6"/>
      <w:szCs w:val="16"/>
    </w:rPr>
  </w:style>
  <w:style w:type="paragraph" w:customStyle="1" w:styleId="NomeCentro">
    <w:name w:val="Nome_Centro"/>
    <w:basedOn w:val="Normal"/>
    <w:qFormat/>
    <w:pPr>
      <w:tabs>
        <w:tab w:val="left" w:pos="429"/>
        <w:tab w:val="center" w:pos="4252"/>
        <w:tab w:val="right" w:pos="9674"/>
      </w:tabs>
      <w:spacing w:before="60" w:after="0" w:line="240" w:lineRule="auto"/>
      <w:ind w:left="-108"/>
      <w:contextualSpacing/>
    </w:pPr>
    <w:rPr>
      <w:rFonts w:ascii="ITC New Baskerville Std" w:eastAsia="Times New Roman" w:hAnsi="ITC New Baskerville Std" w:cs="Times New Roman"/>
      <w:color w:val="59178A"/>
      <w:spacing w:val="-14"/>
      <w:position w:val="4"/>
      <w:sz w:val="24"/>
      <w:szCs w:val="24"/>
    </w:rPr>
  </w:style>
  <w:style w:type="paragraph" w:customStyle="1" w:styleId="Estilo5">
    <w:name w:val="Estilo5"/>
    <w:basedOn w:val="Prrafodelista"/>
    <w:link w:val="Estilo5Car"/>
    <w:qFormat/>
    <w:pPr>
      <w:numPr>
        <w:numId w:val="1"/>
      </w:numPr>
      <w:tabs>
        <w:tab w:val="left" w:pos="2694"/>
      </w:tabs>
      <w:spacing w:after="0" w:line="240" w:lineRule="auto"/>
    </w:pPr>
    <w:rPr>
      <w:rFonts w:ascii="ITC New Baskerville Std" w:hAnsi="ITC New Baskerville Std"/>
      <w:i/>
      <w:sz w:val="24"/>
      <w:lang w:val="es-ES"/>
    </w:rPr>
  </w:style>
  <w:style w:type="character" w:customStyle="1" w:styleId="PrrafodelistaCar">
    <w:name w:val="Párrafo de lista Car"/>
    <w:basedOn w:val="Fuentedeprrafopredeter"/>
    <w:link w:val="Prrafodelista"/>
    <w:uiPriority w:val="34"/>
    <w:qFormat/>
  </w:style>
  <w:style w:type="character" w:customStyle="1" w:styleId="Estilo5Car">
    <w:name w:val="Estilo5 Car"/>
    <w:basedOn w:val="PrrafodelistaCar"/>
    <w:link w:val="Estilo5"/>
    <w:qFormat/>
    <w:rPr>
      <w:rFonts w:ascii="ITC New Baskerville Std" w:hAnsi="ITC New Baskerville Std"/>
      <w:i/>
      <w:sz w:val="24"/>
      <w:lang w:val="es-ES"/>
    </w:rPr>
  </w:style>
  <w:style w:type="table" w:customStyle="1" w:styleId="Sombreadoclaro-nfasis12">
    <w:name w:val="Sombreado claro - Énfasis 12"/>
    <w:basedOn w:val="Tablanormal"/>
    <w:uiPriority w:val="60"/>
    <w:qFormat/>
    <w:rPr>
      <w:rFonts w:ascii="Calibri" w:eastAsia="Calibri" w:hAnsi="Calibri" w:cs="Times New Roman"/>
      <w:color w:val="365F91" w:themeColor="accent1" w:themeShade="BF"/>
    </w:rPr>
    <w:tblPr>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11">
    <w:name w:val="Sombreado claro - Énfasis 11"/>
    <w:basedOn w:val="Tablanormal"/>
    <w:uiPriority w:val="60"/>
    <w:qFormat/>
    <w:rPr>
      <w:rFonts w:eastAsiaTheme="minorEastAsia"/>
      <w:color w:val="365F91" w:themeColor="accent1" w:themeShade="BF"/>
      <w:lang w:val="es-ES" w:eastAsia="es-E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reaCalidade">
    <w:name w:val="AreaCalidade"/>
    <w:basedOn w:val="Normal"/>
    <w:qFormat/>
    <w:pPr>
      <w:tabs>
        <w:tab w:val="left" w:pos="429"/>
        <w:tab w:val="center" w:pos="4252"/>
        <w:tab w:val="right" w:pos="9674"/>
      </w:tabs>
      <w:spacing w:before="60" w:after="0" w:line="240" w:lineRule="auto"/>
      <w:ind w:left="-108"/>
      <w:contextualSpacing/>
    </w:pPr>
    <w:rPr>
      <w:rFonts w:ascii="ITC New Baskerville Std" w:eastAsia="Times New Roman" w:hAnsi="ITC New Baskerville Std" w:cs="Times New Roman"/>
      <w:color w:val="2C1C65"/>
      <w:spacing w:val="-8"/>
      <w:position w:val="4"/>
      <w:szCs w:val="24"/>
    </w:rPr>
  </w:style>
  <w:style w:type="table" w:customStyle="1" w:styleId="Sombreadoclaro-nfasis113">
    <w:name w:val="Sombreado claro - Énfasis 113"/>
    <w:basedOn w:val="Tablanormal"/>
    <w:uiPriority w:val="60"/>
    <w:qFormat/>
    <w:rPr>
      <w:rFonts w:eastAsiaTheme="minorEastAsia"/>
      <w:color w:val="365F91" w:themeColor="accent1" w:themeShade="BF"/>
      <w:lang w:val="es-ES" w:eastAsia="es-E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qFormat/>
    <w:pPr>
      <w:autoSpaceDE w:val="0"/>
      <w:autoSpaceDN w:val="0"/>
      <w:adjustRightInd w:val="0"/>
    </w:pPr>
    <w:rPr>
      <w:rFonts w:ascii="Arial Unicode MS" w:hAnsi="Arial Unicode MS" w:cs="Arial Unicode MS"/>
      <w:color w:val="000000"/>
      <w:sz w:val="24"/>
      <w:szCs w:val="24"/>
      <w:lang w:eastAsia="en-US"/>
    </w:rPr>
  </w:style>
  <w:style w:type="character" w:customStyle="1" w:styleId="TextocomentarioCar">
    <w:name w:val="Texto comentario Car"/>
    <w:basedOn w:val="Fuentedeprrafopredeter"/>
    <w:link w:val="Textocomentario"/>
    <w:uiPriority w:val="99"/>
    <w:qFormat/>
    <w:rPr>
      <w:rFonts w:ascii="New Baskerville" w:hAnsi="New Baskerville"/>
      <w:sz w:val="20"/>
      <w:szCs w:val="20"/>
    </w:rPr>
  </w:style>
  <w:style w:type="character" w:customStyle="1" w:styleId="AsuntodelcomentarioCar">
    <w:name w:val="Asunto del comentario Car"/>
    <w:basedOn w:val="TextocomentarioCar"/>
    <w:link w:val="Asuntodelcomentario"/>
    <w:uiPriority w:val="99"/>
    <w:semiHidden/>
    <w:qFormat/>
    <w:rPr>
      <w:rFonts w:ascii="New Baskerville" w:hAnsi="New Baskerville"/>
      <w:b/>
      <w:bCs/>
      <w:sz w:val="20"/>
      <w:szCs w:val="20"/>
    </w:rPr>
  </w:style>
  <w:style w:type="character" w:customStyle="1" w:styleId="hgkelc">
    <w:name w:val="hgkelc"/>
    <w:basedOn w:val="Fuentedeprrafopredeter"/>
    <w:qFormat/>
  </w:style>
  <w:style w:type="paragraph" w:customStyle="1" w:styleId="Revisin1">
    <w:name w:val="Revisión1"/>
    <w:hidden/>
    <w:uiPriority w:val="99"/>
    <w:semiHidden/>
    <w:qFormat/>
    <w:rPr>
      <w:rFonts w:ascii="New Baskerville" w:hAnsi="New Baskerville"/>
      <w:sz w:val="22"/>
      <w:szCs w:val="22"/>
      <w:lang w:eastAsia="en-US"/>
    </w:rPr>
  </w:style>
  <w:style w:type="character" w:customStyle="1" w:styleId="Ttulo4Car">
    <w:name w:val="Título 4 Car"/>
    <w:basedOn w:val="Fuentedeprrafopredeter"/>
    <w:link w:val="Ttulo4"/>
    <w:uiPriority w:val="9"/>
    <w:qFormat/>
    <w:rPr>
      <w:rFonts w:asciiTheme="majorHAnsi" w:eastAsiaTheme="majorEastAsia" w:hAnsiTheme="majorHAnsi" w:cstheme="majorBidi"/>
      <w:i/>
      <w:iCs/>
      <w:color w:val="365F91" w:themeColor="accent1" w:themeShade="BF"/>
    </w:rPr>
  </w:style>
  <w:style w:type="paragraph" w:styleId="TtuloTDC">
    <w:name w:val="TOC Heading"/>
    <w:basedOn w:val="Ttulo1"/>
    <w:next w:val="Normal"/>
    <w:uiPriority w:val="39"/>
    <w:unhideWhenUsed/>
    <w:qFormat/>
    <w:rsid w:val="00C06A1F"/>
    <w:pPr>
      <w:keepNext/>
      <w:keepLines/>
      <w:pBdr>
        <w:top w:val="none" w:sz="0" w:space="0" w:color="auto"/>
      </w:pBdr>
      <w:tabs>
        <w:tab w:val="clear" w:pos="-1951"/>
        <w:tab w:val="clear" w:pos="1276"/>
      </w:tabs>
      <w:spacing w:before="240" w:beforeAutospacing="0" w:after="0" w:afterAutospacing="0" w:line="259" w:lineRule="auto"/>
      <w:ind w:right="0"/>
      <w:jc w:val="left"/>
      <w:outlineLvl w:val="9"/>
    </w:pPr>
    <w:rPr>
      <w:rFonts w:asciiTheme="majorHAnsi" w:eastAsiaTheme="majorEastAsia" w:hAnsiTheme="majorHAnsi" w:cstheme="majorBidi"/>
      <w:color w:val="365F91" w:themeColor="accent1" w:themeShade="BF"/>
      <w:sz w:val="32"/>
      <w:szCs w:val="32"/>
      <w:lang w:eastAsia="g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Dibujo_de_Microsoft_Visio_2003-20101.vsd"/><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Dibujo_de_Microsoft_Visio_2003-20103.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ibujo_de_Microsoft_Visio_2003-2010.vsd"/><Relationship Id="rId5" Type="http://schemas.openxmlformats.org/officeDocument/2006/relationships/webSettings" Target="webSettings.xml"/><Relationship Id="rId15" Type="http://schemas.openxmlformats.org/officeDocument/2006/relationships/oleObject" Target="embeddings/Dibujo_de_Microsoft_Visio_2003-20102.vsd"/><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2EEAC-D4C2-4746-BB41-82B7B1E0D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14</Pages>
  <Words>1705</Words>
  <Characters>9725</Characters>
  <Application>Microsoft Office Word</Application>
  <DocSecurity>0</DocSecurity>
  <Lines>81</Lines>
  <Paragraphs>22</Paragraphs>
  <ScaleCrop>false</ScaleCrop>
  <Company>Hewlett-Packard Company</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calidad21</dc:creator>
  <cp:lastModifiedBy>Luis Miguel Prieto Rodríguez</cp:lastModifiedBy>
  <cp:revision>50</cp:revision>
  <cp:lastPrinted>2023-07-10T08:26:00Z</cp:lastPrinted>
  <dcterms:created xsi:type="dcterms:W3CDTF">2023-05-03T11:13:00Z</dcterms:created>
  <dcterms:modified xsi:type="dcterms:W3CDTF">2023-09-29T11:30:00Z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3082-12.2.0.13215</vt:lpwstr>
  </property>
  <property fmtid="{D5CDD505-2E9C-101B-9397-08002B2CF9AE}" pid="3" name="ICV">
    <vt:lpwstr>D68999E5015242AAB0A13E7CECB75B04_12</vt:lpwstr>
  </property>
</Properties>
</file>