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9516" w14:textId="77777777" w:rsidR="008B188B" w:rsidRPr="008B188B" w:rsidRDefault="008B188B" w:rsidP="001F7823">
      <w:pPr>
        <w:jc w:val="both"/>
        <w:rPr>
          <w:rFonts w:ascii="New Baskerville" w:hAnsi="New Baskerville"/>
          <w:sz w:val="21"/>
          <w:szCs w:val="21"/>
          <w:lang w:val="en-GB"/>
        </w:rPr>
      </w:pPr>
      <w:r w:rsidRPr="008B188B">
        <w:rPr>
          <w:rFonts w:ascii="New Baskerville" w:hAnsi="New Baskerville"/>
          <w:b/>
          <w:sz w:val="21"/>
          <w:szCs w:val="21"/>
          <w:lang w:val="en-GB"/>
        </w:rPr>
        <w:t xml:space="preserve">SPECIFIC COLLABORATION AGREEMENT FOR THE UNDERTAKING OF END-OF-COURSE PROJECTS (DEGREE OR MASTER) BETWEEN THE UNIVERSITY OF VIGO </w:t>
      </w:r>
      <w:proofErr w:type="gramStart"/>
      <w:r w:rsidRPr="008B188B">
        <w:rPr>
          <w:rFonts w:ascii="New Baskerville" w:hAnsi="New Baskerville"/>
          <w:b/>
          <w:sz w:val="21"/>
          <w:szCs w:val="21"/>
          <w:lang w:val="en-GB"/>
        </w:rPr>
        <w:t>AND  _</w:t>
      </w:r>
      <w:proofErr w:type="gramEnd"/>
      <w:r w:rsidRPr="008B188B">
        <w:rPr>
          <w:rFonts w:ascii="New Baskerville" w:hAnsi="New Baskerville"/>
          <w:b/>
          <w:sz w:val="21"/>
          <w:szCs w:val="21"/>
          <w:lang w:val="en-GB"/>
        </w:rPr>
        <w:t>___________________________________________</w:t>
      </w:r>
      <w:r w:rsidRPr="008B188B">
        <w:rPr>
          <w:rFonts w:ascii="New Baskerville" w:hAnsi="New Baskerville"/>
          <w:sz w:val="21"/>
          <w:szCs w:val="21"/>
          <w:lang w:val="en-GB"/>
        </w:rPr>
        <w:t xml:space="preserve"> </w:t>
      </w:r>
      <w:r w:rsidRPr="008B188B">
        <w:rPr>
          <w:rFonts w:ascii="New Baskerville" w:hAnsi="New Baskerville"/>
          <w:i/>
          <w:sz w:val="21"/>
          <w:szCs w:val="21"/>
          <w:lang w:val="en-GB"/>
        </w:rPr>
        <w:t>(</w:t>
      </w:r>
      <w:r w:rsidRPr="008B188B">
        <w:rPr>
          <w:rFonts w:ascii="New Baskerville" w:hAnsi="New Baskerville"/>
          <w:i/>
          <w:sz w:val="21"/>
          <w:szCs w:val="21"/>
          <w:highlight w:val="lightGray"/>
          <w:lang w:val="en-GB"/>
        </w:rPr>
        <w:t>name of company, external research centre, or other collaborating entity</w:t>
      </w:r>
      <w:r w:rsidRPr="008B188B">
        <w:rPr>
          <w:rFonts w:ascii="New Baskerville" w:hAnsi="New Baskerville"/>
          <w:i/>
          <w:sz w:val="21"/>
          <w:szCs w:val="21"/>
          <w:lang w:val="en-GB"/>
        </w:rPr>
        <w:t xml:space="preserve">) </w:t>
      </w:r>
    </w:p>
    <w:p w14:paraId="76875BF5"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THE PARTIES PRESENT </w:t>
      </w:r>
    </w:p>
    <w:p w14:paraId="41DFC695" w14:textId="2415451F" w:rsidR="008B188B" w:rsidRPr="008B188B" w:rsidRDefault="008B188B" w:rsidP="008B188B">
      <w:pPr>
        <w:jc w:val="both"/>
        <w:rPr>
          <w:rFonts w:ascii="New Baskerville" w:hAnsi="New Baskerville"/>
          <w:sz w:val="21"/>
          <w:szCs w:val="21"/>
          <w:lang w:val="en-GB"/>
        </w:rPr>
      </w:pPr>
      <w:r w:rsidRPr="008B188B">
        <w:rPr>
          <w:rFonts w:ascii="New Baskerville" w:hAnsi="New Baskerville"/>
          <w:sz w:val="21"/>
          <w:szCs w:val="21"/>
          <w:lang w:val="en-GB"/>
        </w:rPr>
        <w:t xml:space="preserve">For one party, Mr. Manuel Joaquín Reigosa Roger, Chancellor of the University of Vigo, who acts in the name and representation of the entity by virtue of what is laid down in its statutes and of being named Chancellor by decree </w:t>
      </w:r>
      <w:proofErr w:type="gramStart"/>
      <w:r w:rsidRPr="001F7823">
        <w:rPr>
          <w:rFonts w:ascii="New Baskerville" w:hAnsi="New Baskerville"/>
          <w:sz w:val="21"/>
          <w:szCs w:val="21"/>
          <w:lang w:val="en-GB"/>
        </w:rPr>
        <w:t>110</w:t>
      </w:r>
      <w:r w:rsidRPr="008B188B">
        <w:rPr>
          <w:rFonts w:ascii="New Baskerville" w:hAnsi="New Baskerville"/>
          <w:sz w:val="21"/>
          <w:szCs w:val="21"/>
          <w:lang w:val="en-GB"/>
        </w:rPr>
        <w:t>/20</w:t>
      </w:r>
      <w:r w:rsidRPr="001F7823">
        <w:rPr>
          <w:rFonts w:ascii="New Baskerville" w:hAnsi="New Baskerville"/>
          <w:sz w:val="21"/>
          <w:szCs w:val="21"/>
          <w:lang w:val="en-GB"/>
        </w:rPr>
        <w:t>22</w:t>
      </w:r>
      <w:r w:rsidRPr="008B188B">
        <w:rPr>
          <w:rFonts w:ascii="New Baskerville" w:hAnsi="New Baskerville"/>
          <w:sz w:val="21"/>
          <w:szCs w:val="21"/>
          <w:lang w:val="en-GB"/>
        </w:rPr>
        <w:t>,</w:t>
      </w:r>
      <w:proofErr w:type="gramEnd"/>
      <w:r w:rsidRPr="008B188B">
        <w:rPr>
          <w:rFonts w:ascii="New Baskerville" w:hAnsi="New Baskerville"/>
          <w:sz w:val="21"/>
          <w:szCs w:val="21"/>
          <w:lang w:val="en-GB"/>
        </w:rPr>
        <w:t xml:space="preserve"> of </w:t>
      </w:r>
      <w:r w:rsidRPr="001F7823">
        <w:rPr>
          <w:rFonts w:ascii="New Baskerville" w:hAnsi="New Baskerville"/>
          <w:sz w:val="21"/>
          <w:szCs w:val="21"/>
          <w:lang w:val="en-GB"/>
        </w:rPr>
        <w:t>9th</w:t>
      </w:r>
      <w:r w:rsidRPr="008B188B">
        <w:rPr>
          <w:rFonts w:ascii="New Baskerville" w:hAnsi="New Baskerville"/>
          <w:sz w:val="21"/>
          <w:szCs w:val="21"/>
          <w:lang w:val="en-GB"/>
        </w:rPr>
        <w:t xml:space="preserve"> May (Official Record of Galicia "DOG" number 1</w:t>
      </w:r>
      <w:r w:rsidRPr="001F7823">
        <w:rPr>
          <w:rFonts w:ascii="New Baskerville" w:hAnsi="New Baskerville"/>
          <w:sz w:val="21"/>
          <w:szCs w:val="21"/>
          <w:lang w:val="en-GB"/>
        </w:rPr>
        <w:t>17</w:t>
      </w:r>
      <w:r w:rsidRPr="008B188B">
        <w:rPr>
          <w:rFonts w:ascii="New Baskerville" w:hAnsi="New Baskerville"/>
          <w:sz w:val="21"/>
          <w:szCs w:val="21"/>
          <w:lang w:val="en-GB"/>
        </w:rPr>
        <w:t xml:space="preserve">, of </w:t>
      </w:r>
      <w:r w:rsidRPr="001F7823">
        <w:rPr>
          <w:rFonts w:ascii="New Baskerville" w:hAnsi="New Baskerville"/>
          <w:sz w:val="21"/>
          <w:szCs w:val="21"/>
          <w:lang w:val="en-GB"/>
        </w:rPr>
        <w:t>20</w:t>
      </w:r>
      <w:r w:rsidRPr="008B188B">
        <w:rPr>
          <w:rFonts w:ascii="New Baskerville" w:hAnsi="New Baskerville"/>
          <w:sz w:val="21"/>
          <w:szCs w:val="21"/>
          <w:lang w:val="en-GB"/>
        </w:rPr>
        <w:t xml:space="preserve">th June) </w:t>
      </w:r>
    </w:p>
    <w:p w14:paraId="461AAE9A" w14:textId="7EDC3361" w:rsidR="008B188B" w:rsidRPr="008B188B" w:rsidRDefault="008B188B" w:rsidP="008B188B">
      <w:pPr>
        <w:jc w:val="both"/>
        <w:rPr>
          <w:rFonts w:ascii="New Baskerville" w:hAnsi="New Baskerville"/>
          <w:sz w:val="21"/>
          <w:szCs w:val="21"/>
          <w:lang w:val="en-GB"/>
        </w:rPr>
      </w:pPr>
      <w:r w:rsidRPr="001F7823">
        <w:rPr>
          <w:rFonts w:ascii="New Baskerville" w:hAnsi="New Baskerville"/>
          <w:sz w:val="21"/>
          <w:szCs w:val="21"/>
          <w:lang w:val="en-GB"/>
        </w:rPr>
        <w:t xml:space="preserve"> </w:t>
      </w:r>
      <w:r w:rsidRPr="008B188B">
        <w:rPr>
          <w:rFonts w:ascii="New Baskerville" w:hAnsi="New Baskerville"/>
          <w:sz w:val="21"/>
          <w:szCs w:val="21"/>
          <w:lang w:val="en-GB"/>
        </w:rPr>
        <w:t>And, for the other party, Mr./Ms.</w:t>
      </w:r>
      <w:r w:rsidR="001F7823" w:rsidRPr="001F7823">
        <w:rPr>
          <w:rFonts w:ascii="New Baskerville" w:hAnsi="New Baskerville"/>
          <w:sz w:val="21"/>
          <w:szCs w:val="21"/>
          <w:lang w:val="en-GB"/>
        </w:rPr>
        <w:t xml:space="preserve"> </w:t>
      </w:r>
      <w:r w:rsidR="001F7823" w:rsidRPr="008B188B">
        <w:rPr>
          <w:rFonts w:ascii="New Baskerville" w:hAnsi="New Baskerville"/>
          <w:sz w:val="21"/>
          <w:szCs w:val="21"/>
          <w:lang w:val="en-GB"/>
        </w:rPr>
        <w:t>________________________</w:t>
      </w:r>
      <w:r w:rsidR="001F7823">
        <w:rPr>
          <w:rFonts w:ascii="New Baskerville" w:hAnsi="New Baskerville"/>
          <w:sz w:val="21"/>
          <w:szCs w:val="21"/>
          <w:lang w:val="en-GB"/>
        </w:rPr>
        <w:t>(</w:t>
      </w:r>
      <w:r w:rsidR="001F7823" w:rsidRPr="001F7823">
        <w:rPr>
          <w:rFonts w:ascii="New Baskerville" w:hAnsi="New Baskerville"/>
          <w:i/>
          <w:iCs/>
          <w:sz w:val="21"/>
          <w:szCs w:val="21"/>
          <w:highlight w:val="lightGray"/>
          <w:lang w:val="en-GB"/>
        </w:rPr>
        <w:t>name and surname</w:t>
      </w:r>
      <w:r w:rsidR="001F7823">
        <w:rPr>
          <w:rFonts w:ascii="New Baskerville" w:hAnsi="New Baskerville"/>
          <w:sz w:val="21"/>
          <w:szCs w:val="21"/>
          <w:lang w:val="en-GB"/>
        </w:rPr>
        <w:t>)</w:t>
      </w:r>
      <w:r w:rsidRPr="001F7823">
        <w:rPr>
          <w:rFonts w:ascii="New Baskerville" w:hAnsi="New Baskerville"/>
          <w:sz w:val="21"/>
          <w:szCs w:val="21"/>
          <w:lang w:val="en-GB"/>
        </w:rPr>
        <w:t xml:space="preserve"> </w:t>
      </w:r>
      <w:r w:rsidRPr="008B188B">
        <w:rPr>
          <w:rFonts w:ascii="New Baskerville" w:hAnsi="New Baskerville"/>
          <w:sz w:val="21"/>
          <w:szCs w:val="21"/>
          <w:lang w:val="en-GB"/>
        </w:rPr>
        <w:t>acting in their role</w:t>
      </w:r>
      <w:r w:rsidRPr="001F7823">
        <w:rPr>
          <w:rFonts w:ascii="New Baskerville" w:hAnsi="New Baskerville"/>
          <w:sz w:val="21"/>
          <w:szCs w:val="21"/>
          <w:lang w:val="en-GB"/>
        </w:rPr>
        <w:t xml:space="preserve"> </w:t>
      </w:r>
      <w:r w:rsidRPr="008B188B">
        <w:rPr>
          <w:rFonts w:ascii="New Baskerville" w:hAnsi="New Baskerville"/>
          <w:sz w:val="21"/>
          <w:szCs w:val="21"/>
          <w:lang w:val="en-GB"/>
        </w:rPr>
        <w:t>_____________________________</w:t>
      </w:r>
      <w:r w:rsidRPr="001F7823">
        <w:rPr>
          <w:rFonts w:ascii="New Baskerville" w:hAnsi="New Baskerville"/>
          <w:sz w:val="21"/>
          <w:szCs w:val="21"/>
          <w:lang w:val="en-GB"/>
        </w:rPr>
        <w:t xml:space="preserve"> </w:t>
      </w:r>
      <w:r w:rsidRPr="001F7823">
        <w:rPr>
          <w:rFonts w:ascii="New Baskerville" w:hAnsi="New Baskerville"/>
          <w:sz w:val="21"/>
          <w:szCs w:val="21"/>
          <w:highlight w:val="lightGray"/>
          <w:lang w:val="en-GB"/>
        </w:rPr>
        <w:t>(position)</w:t>
      </w:r>
      <w:r w:rsidRPr="008B188B">
        <w:rPr>
          <w:rFonts w:ascii="New Baskerville" w:hAnsi="New Baskerville"/>
          <w:sz w:val="21"/>
          <w:szCs w:val="21"/>
          <w:lang w:val="en-GB"/>
        </w:rPr>
        <w:t>, as and in the name and representation of ___________________________________________ (</w:t>
      </w:r>
      <w:r w:rsidRPr="008B188B">
        <w:rPr>
          <w:rFonts w:ascii="New Baskerville" w:hAnsi="New Baskerville"/>
          <w:i/>
          <w:sz w:val="21"/>
          <w:szCs w:val="21"/>
          <w:highlight w:val="lightGray"/>
          <w:lang w:val="en-GB"/>
        </w:rPr>
        <w:t>name of company, research centre, or other external collaborating entity</w:t>
      </w:r>
      <w:r w:rsidRPr="008B188B">
        <w:rPr>
          <w:rFonts w:ascii="New Baskerville" w:hAnsi="New Baskerville"/>
          <w:i/>
          <w:sz w:val="21"/>
          <w:szCs w:val="21"/>
          <w:lang w:val="en-GB"/>
        </w:rPr>
        <w:t>)</w:t>
      </w:r>
      <w:r w:rsidRPr="008B188B">
        <w:rPr>
          <w:rFonts w:ascii="New Baskerville" w:hAnsi="New Baskerville"/>
          <w:sz w:val="21"/>
          <w:szCs w:val="21"/>
          <w:lang w:val="en-GB"/>
        </w:rPr>
        <w:t>, with Fiscal Identity Number________________________________ and registered address at</w:t>
      </w:r>
      <w:r w:rsidRPr="001F7823">
        <w:rPr>
          <w:rFonts w:ascii="New Baskerville" w:hAnsi="New Baskerville"/>
          <w:sz w:val="21"/>
          <w:szCs w:val="21"/>
          <w:lang w:val="en-GB"/>
        </w:rPr>
        <w:t xml:space="preserve"> </w:t>
      </w:r>
      <w:r w:rsidRPr="008B188B">
        <w:rPr>
          <w:rFonts w:ascii="New Baskerville" w:hAnsi="New Baskerville"/>
          <w:sz w:val="21"/>
          <w:szCs w:val="21"/>
          <w:lang w:val="en-GB"/>
        </w:rPr>
        <w:t>______________________________ (</w:t>
      </w:r>
      <w:r w:rsidRPr="008B188B">
        <w:rPr>
          <w:rFonts w:ascii="New Baskerville" w:hAnsi="New Baskerville"/>
          <w:i/>
          <w:sz w:val="21"/>
          <w:szCs w:val="21"/>
          <w:highlight w:val="lightGray"/>
          <w:lang w:val="en-GB"/>
        </w:rPr>
        <w:t>street, number, post code and city</w:t>
      </w:r>
      <w:r w:rsidRPr="008B188B">
        <w:rPr>
          <w:rFonts w:ascii="New Baskerville" w:hAnsi="New Baskerville"/>
          <w:sz w:val="21"/>
          <w:szCs w:val="21"/>
          <w:lang w:val="en-GB"/>
        </w:rPr>
        <w:t xml:space="preserve">). </w:t>
      </w:r>
    </w:p>
    <w:p w14:paraId="08A93446" w14:textId="77777777" w:rsidR="008B188B" w:rsidRPr="008B188B" w:rsidRDefault="008B188B" w:rsidP="008B188B">
      <w:pPr>
        <w:rPr>
          <w:rFonts w:ascii="New Baskerville" w:hAnsi="New Baskerville"/>
          <w:sz w:val="21"/>
          <w:szCs w:val="21"/>
        </w:rPr>
      </w:pPr>
      <w:r w:rsidRPr="008B188B">
        <w:rPr>
          <w:rFonts w:ascii="New Baskerville" w:hAnsi="New Baskerville"/>
          <w:b/>
          <w:sz w:val="21"/>
          <w:szCs w:val="21"/>
        </w:rPr>
        <w:t xml:space="preserve">DECLARE: </w:t>
      </w:r>
    </w:p>
    <w:p w14:paraId="5E470B3D" w14:textId="77777777"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That it is the will of the parties to collaborate in the final training stage of the university student, supporting the undertaking of the end-of-course projects that are carried out as part of the subjects for the End of Degree Projects (hereinafter, EDP) and End of Master Projects (hereinafter, EMP).</w:t>
      </w:r>
    </w:p>
    <w:p w14:paraId="66870AA2" w14:textId="77777777"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 xml:space="preserve">That the EDP and EMP are mandatory subjects in the official syllabus for the official qualifications of degree and master, respectively. Their aim is to allow the student to develop, apply and demonstrate some of the knowledge, </w:t>
      </w:r>
      <w:proofErr w:type="gramStart"/>
      <w:r w:rsidRPr="001F7823">
        <w:rPr>
          <w:rFonts w:ascii="New Baskerville" w:hAnsi="New Baskerville"/>
          <w:sz w:val="21"/>
          <w:szCs w:val="21"/>
          <w:lang w:val="en-GB"/>
        </w:rPr>
        <w:t>capacities</w:t>
      </w:r>
      <w:proofErr w:type="gramEnd"/>
      <w:r w:rsidRPr="001F7823">
        <w:rPr>
          <w:rFonts w:ascii="New Baskerville" w:hAnsi="New Baskerville"/>
          <w:sz w:val="21"/>
          <w:szCs w:val="21"/>
          <w:lang w:val="en-GB"/>
        </w:rPr>
        <w:t xml:space="preserve"> and competences they have acquired throughout their academic training.</w:t>
      </w:r>
    </w:p>
    <w:p w14:paraId="65AFE322" w14:textId="3E471D8F"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 xml:space="preserve">That the EDP and EMP subjects have an academic value of between 6 and 30 ECTS credits, are carried out during the final phase of the </w:t>
      </w:r>
      <w:r w:rsidR="00FA0495" w:rsidRPr="001F7823">
        <w:rPr>
          <w:rFonts w:ascii="New Baskerville" w:hAnsi="New Baskerville"/>
          <w:sz w:val="21"/>
          <w:szCs w:val="21"/>
          <w:lang w:val="en-GB"/>
        </w:rPr>
        <w:t>syllabus and</w:t>
      </w:r>
      <w:r w:rsidRPr="001F7823">
        <w:rPr>
          <w:rFonts w:ascii="New Baskerville" w:hAnsi="New Baskerville"/>
          <w:sz w:val="21"/>
          <w:szCs w:val="21"/>
          <w:lang w:val="en-GB"/>
        </w:rPr>
        <w:t xml:space="preserve"> are oriented towards assessment of the competences included in the official description of the qualification.</w:t>
      </w:r>
    </w:p>
    <w:p w14:paraId="27A979FA" w14:textId="77777777"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That the proposal from a student to write an EDP or EMP thesis can be linked to the work carried out by a company, a research centre, a foreign university (as part of a mobility programme), or other external institution (hereinafter, collaborating entities).</w:t>
      </w:r>
    </w:p>
    <w:p w14:paraId="2BB93181" w14:textId="77777777"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That this agreement has the objective of establishing a collaboration framework between the parties supporting the undertaking of EDP/EMP subjects by means of stays carried out at the facilities of the collaborating entities)</w:t>
      </w:r>
    </w:p>
    <w:p w14:paraId="7AACF8DA" w14:textId="77777777"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That the project undertaken as part of the EDP or EMP covered by this document will be undertaken under joint and coordinated supervision by the University of Vigo and the collaborating entity itself, in the terms established in University's norms for undertaking and EDPs or EMPs, and the regulations of each centre.</w:t>
      </w:r>
    </w:p>
    <w:p w14:paraId="58D3BEFA" w14:textId="77777777" w:rsidR="008B188B" w:rsidRPr="001F7823" w:rsidRDefault="008B188B" w:rsidP="008B503B">
      <w:pPr>
        <w:pStyle w:val="Prrafodelista"/>
        <w:numPr>
          <w:ilvl w:val="0"/>
          <w:numId w:val="8"/>
        </w:numPr>
        <w:ind w:left="426" w:hanging="357"/>
        <w:contextualSpacing w:val="0"/>
        <w:jc w:val="both"/>
        <w:rPr>
          <w:rFonts w:ascii="New Baskerville" w:hAnsi="New Baskerville"/>
          <w:sz w:val="21"/>
          <w:szCs w:val="21"/>
          <w:lang w:val="en-GB"/>
        </w:rPr>
      </w:pPr>
      <w:r w:rsidRPr="001F7823">
        <w:rPr>
          <w:rFonts w:ascii="New Baskerville" w:hAnsi="New Baskerville"/>
          <w:sz w:val="21"/>
          <w:szCs w:val="21"/>
          <w:lang w:val="en-GB"/>
        </w:rPr>
        <w:t>That stays at collaborating entities covered by this agreement will not be considered as external practice placements and, therefore, will not be covered by current legislation on such placements.</w:t>
      </w:r>
    </w:p>
    <w:p w14:paraId="2ACCC4C8" w14:textId="77777777" w:rsidR="00FA0495" w:rsidRPr="001F7823" w:rsidRDefault="00FA0495" w:rsidP="00FA0495">
      <w:pPr>
        <w:jc w:val="both"/>
        <w:rPr>
          <w:rFonts w:ascii="New Baskerville" w:hAnsi="New Baskerville"/>
          <w:sz w:val="21"/>
          <w:szCs w:val="21"/>
          <w:lang w:val="en-GB"/>
        </w:rPr>
      </w:pPr>
    </w:p>
    <w:p w14:paraId="4E52595B" w14:textId="453203E8" w:rsidR="008B188B" w:rsidRPr="008B188B" w:rsidRDefault="008B188B" w:rsidP="00FA0495">
      <w:pPr>
        <w:jc w:val="both"/>
        <w:rPr>
          <w:rFonts w:ascii="New Baskerville" w:hAnsi="New Baskerville"/>
          <w:sz w:val="21"/>
          <w:szCs w:val="21"/>
          <w:lang w:val="en-GB"/>
        </w:rPr>
      </w:pPr>
      <w:r w:rsidRPr="008B188B">
        <w:rPr>
          <w:rFonts w:ascii="New Baskerville" w:hAnsi="New Baskerville"/>
          <w:sz w:val="21"/>
          <w:szCs w:val="21"/>
          <w:lang w:val="en-GB"/>
        </w:rPr>
        <w:t xml:space="preserve">In light of the above, the parties agree to sign a specific collaboration agreement to be governed by the </w:t>
      </w:r>
      <w:proofErr w:type="gramStart"/>
      <w:r w:rsidRPr="008B188B">
        <w:rPr>
          <w:rFonts w:ascii="New Baskerville" w:hAnsi="New Baskerville"/>
          <w:sz w:val="21"/>
          <w:szCs w:val="21"/>
          <w:lang w:val="en-GB"/>
        </w:rPr>
        <w:t>following</w:t>
      </w:r>
      <w:proofErr w:type="gramEnd"/>
      <w:r w:rsidRPr="008B188B">
        <w:rPr>
          <w:rFonts w:ascii="New Baskerville" w:hAnsi="New Baskerville"/>
          <w:sz w:val="21"/>
          <w:szCs w:val="21"/>
          <w:lang w:val="en-GB"/>
        </w:rPr>
        <w:t xml:space="preserve">  </w:t>
      </w:r>
    </w:p>
    <w:p w14:paraId="14EC3821" w14:textId="77777777" w:rsidR="00FA0495" w:rsidRPr="001F7823" w:rsidRDefault="00FA0495">
      <w:pPr>
        <w:rPr>
          <w:rFonts w:ascii="New Baskerville" w:hAnsi="New Baskerville"/>
          <w:b/>
          <w:sz w:val="21"/>
          <w:szCs w:val="21"/>
          <w:lang w:val="en-GB"/>
        </w:rPr>
      </w:pPr>
      <w:r w:rsidRPr="001F7823">
        <w:rPr>
          <w:rFonts w:ascii="New Baskerville" w:hAnsi="New Baskerville"/>
          <w:b/>
          <w:sz w:val="21"/>
          <w:szCs w:val="21"/>
          <w:lang w:val="en-GB"/>
        </w:rPr>
        <w:br w:type="page"/>
      </w:r>
    </w:p>
    <w:p w14:paraId="483ADE69" w14:textId="4945C6E6" w:rsidR="008B188B" w:rsidRPr="008B188B" w:rsidRDefault="008B188B" w:rsidP="008B188B">
      <w:pPr>
        <w:rPr>
          <w:rFonts w:ascii="New Baskerville" w:hAnsi="New Baskerville"/>
          <w:sz w:val="21"/>
          <w:szCs w:val="21"/>
          <w:lang w:val="en-GB"/>
        </w:rPr>
      </w:pPr>
      <w:r w:rsidRPr="008B188B">
        <w:rPr>
          <w:rFonts w:ascii="New Baskerville" w:hAnsi="New Baskerville"/>
          <w:b/>
          <w:sz w:val="21"/>
          <w:szCs w:val="21"/>
          <w:lang w:val="en-GB"/>
        </w:rPr>
        <w:lastRenderedPageBreak/>
        <w:t xml:space="preserve">STIPULATIONS </w:t>
      </w:r>
    </w:p>
    <w:p w14:paraId="157340A2"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One.  Placement of the student </w:t>
      </w:r>
    </w:p>
    <w:p w14:paraId="01833C34" w14:textId="77777777" w:rsidR="008B188B" w:rsidRPr="008B188B" w:rsidRDefault="008B188B" w:rsidP="008B188B">
      <w:pPr>
        <w:rPr>
          <w:rFonts w:ascii="New Baskerville" w:hAnsi="New Baskerville"/>
          <w:sz w:val="21"/>
          <w:szCs w:val="21"/>
          <w:lang w:val="en-GB"/>
        </w:rPr>
      </w:pPr>
      <w:r w:rsidRPr="008B188B">
        <w:rPr>
          <w:rFonts w:ascii="New Baskerville" w:hAnsi="New Baskerville"/>
          <w:sz w:val="21"/>
          <w:szCs w:val="21"/>
          <w:lang w:val="en-GB"/>
        </w:rPr>
        <w:t>Each EDP/EMP undertaken covered by this agreement will require the signing of a specific document (Annex I) to formalize the student's stay at the collaborating entity, in which the following information will be provided:</w:t>
      </w:r>
    </w:p>
    <w:p w14:paraId="22A956F5" w14:textId="77777777" w:rsidR="008B188B" w:rsidRPr="008B188B" w:rsidRDefault="008B188B" w:rsidP="008B503B">
      <w:pPr>
        <w:numPr>
          <w:ilvl w:val="0"/>
          <w:numId w:val="2"/>
        </w:numPr>
        <w:spacing w:after="0"/>
        <w:ind w:left="709" w:hanging="283"/>
        <w:rPr>
          <w:rFonts w:ascii="New Baskerville" w:hAnsi="New Baskerville"/>
          <w:sz w:val="21"/>
          <w:szCs w:val="21"/>
        </w:rPr>
      </w:pPr>
      <w:proofErr w:type="spellStart"/>
      <w:r w:rsidRPr="008B188B">
        <w:rPr>
          <w:rFonts w:ascii="New Baskerville" w:hAnsi="New Baskerville"/>
          <w:sz w:val="21"/>
          <w:szCs w:val="21"/>
        </w:rPr>
        <w:t>Details</w:t>
      </w:r>
      <w:proofErr w:type="spellEnd"/>
      <w:r w:rsidRPr="008B188B">
        <w:rPr>
          <w:rFonts w:ascii="New Baskerville" w:hAnsi="New Baskerville"/>
          <w:sz w:val="21"/>
          <w:szCs w:val="21"/>
        </w:rPr>
        <w:t xml:space="preserve"> </w:t>
      </w:r>
      <w:proofErr w:type="spellStart"/>
      <w:r w:rsidRPr="008B188B">
        <w:rPr>
          <w:rFonts w:ascii="New Baskerville" w:hAnsi="New Baskerville"/>
          <w:sz w:val="21"/>
          <w:szCs w:val="21"/>
        </w:rPr>
        <w:t>of</w:t>
      </w:r>
      <w:proofErr w:type="spellEnd"/>
      <w:r w:rsidRPr="008B188B">
        <w:rPr>
          <w:rFonts w:ascii="New Baskerville" w:hAnsi="New Baskerville"/>
          <w:sz w:val="21"/>
          <w:szCs w:val="21"/>
        </w:rPr>
        <w:t xml:space="preserve"> </w:t>
      </w:r>
      <w:proofErr w:type="spellStart"/>
      <w:r w:rsidRPr="008B188B">
        <w:rPr>
          <w:rFonts w:ascii="New Baskerville" w:hAnsi="New Baskerville"/>
          <w:sz w:val="21"/>
          <w:szCs w:val="21"/>
        </w:rPr>
        <w:t>the</w:t>
      </w:r>
      <w:proofErr w:type="spellEnd"/>
      <w:r w:rsidRPr="008B188B">
        <w:rPr>
          <w:rFonts w:ascii="New Baskerville" w:hAnsi="New Baskerville"/>
          <w:sz w:val="21"/>
          <w:szCs w:val="21"/>
        </w:rPr>
        <w:t xml:space="preserve"> </w:t>
      </w:r>
      <w:proofErr w:type="spellStart"/>
      <w:r w:rsidRPr="008B188B">
        <w:rPr>
          <w:rFonts w:ascii="New Baskerville" w:hAnsi="New Baskerville"/>
          <w:sz w:val="21"/>
          <w:szCs w:val="21"/>
        </w:rPr>
        <w:t>student</w:t>
      </w:r>
      <w:proofErr w:type="spellEnd"/>
    </w:p>
    <w:p w14:paraId="5579B418" w14:textId="77777777" w:rsidR="008B188B" w:rsidRPr="008B188B" w:rsidRDefault="008B188B" w:rsidP="008B503B">
      <w:pPr>
        <w:numPr>
          <w:ilvl w:val="0"/>
          <w:numId w:val="2"/>
        </w:numPr>
        <w:spacing w:after="0"/>
        <w:ind w:left="709" w:hanging="283"/>
        <w:rPr>
          <w:rFonts w:ascii="New Baskerville" w:hAnsi="New Baskerville"/>
          <w:sz w:val="21"/>
          <w:szCs w:val="21"/>
          <w:lang w:val="en-GB"/>
        </w:rPr>
      </w:pPr>
      <w:r w:rsidRPr="008B188B">
        <w:rPr>
          <w:rFonts w:ascii="New Baskerville" w:hAnsi="New Baskerville"/>
          <w:sz w:val="21"/>
          <w:szCs w:val="21"/>
          <w:lang w:val="en-GB"/>
        </w:rPr>
        <w:t xml:space="preserve">Details of the collaborating entity at which the stay will be </w:t>
      </w:r>
      <w:proofErr w:type="gramStart"/>
      <w:r w:rsidRPr="008B188B">
        <w:rPr>
          <w:rFonts w:ascii="New Baskerville" w:hAnsi="New Baskerville"/>
          <w:sz w:val="21"/>
          <w:szCs w:val="21"/>
          <w:lang w:val="en-GB"/>
        </w:rPr>
        <w:t>undertaken</w:t>
      </w:r>
      <w:proofErr w:type="gramEnd"/>
    </w:p>
    <w:p w14:paraId="38FEDFD0" w14:textId="77777777" w:rsidR="008B188B" w:rsidRPr="008B188B" w:rsidRDefault="008B188B" w:rsidP="008B503B">
      <w:pPr>
        <w:numPr>
          <w:ilvl w:val="0"/>
          <w:numId w:val="2"/>
        </w:numPr>
        <w:spacing w:after="0"/>
        <w:ind w:left="709" w:hanging="283"/>
        <w:rPr>
          <w:rFonts w:ascii="New Baskerville" w:hAnsi="New Baskerville"/>
          <w:sz w:val="21"/>
          <w:szCs w:val="21"/>
          <w:lang w:val="en-GB"/>
        </w:rPr>
      </w:pPr>
      <w:r w:rsidRPr="008B188B">
        <w:rPr>
          <w:rFonts w:ascii="New Baskerville" w:hAnsi="New Baskerville"/>
          <w:sz w:val="21"/>
          <w:szCs w:val="21"/>
          <w:lang w:val="en-GB"/>
        </w:rPr>
        <w:t>Details of the project directors at the University of Vigo</w:t>
      </w:r>
    </w:p>
    <w:p w14:paraId="24DCFDB0" w14:textId="77777777" w:rsidR="008B188B" w:rsidRPr="008B188B" w:rsidRDefault="008B188B" w:rsidP="008B503B">
      <w:pPr>
        <w:numPr>
          <w:ilvl w:val="0"/>
          <w:numId w:val="2"/>
        </w:numPr>
        <w:spacing w:after="0"/>
        <w:ind w:left="709" w:hanging="283"/>
        <w:rPr>
          <w:rFonts w:ascii="New Baskerville" w:hAnsi="New Baskerville"/>
          <w:sz w:val="21"/>
          <w:szCs w:val="21"/>
          <w:lang w:val="en-GB"/>
        </w:rPr>
      </w:pPr>
      <w:r w:rsidRPr="008B188B">
        <w:rPr>
          <w:rFonts w:ascii="New Baskerville" w:hAnsi="New Baskerville"/>
          <w:sz w:val="21"/>
          <w:szCs w:val="21"/>
          <w:lang w:val="en-GB"/>
        </w:rPr>
        <w:t>Details of the tutors at the collaborating entity - Details of the project</w:t>
      </w:r>
    </w:p>
    <w:p w14:paraId="4CFD1B95" w14:textId="77777777" w:rsidR="008B188B" w:rsidRPr="008B188B" w:rsidRDefault="008B188B" w:rsidP="008B503B">
      <w:pPr>
        <w:numPr>
          <w:ilvl w:val="0"/>
          <w:numId w:val="2"/>
        </w:numPr>
        <w:spacing w:after="0"/>
        <w:ind w:left="709" w:hanging="283"/>
        <w:rPr>
          <w:rFonts w:ascii="New Baskerville" w:hAnsi="New Baskerville"/>
          <w:sz w:val="21"/>
          <w:szCs w:val="21"/>
          <w:lang w:val="en-GB"/>
        </w:rPr>
      </w:pPr>
      <w:r w:rsidRPr="008B188B">
        <w:rPr>
          <w:rFonts w:ascii="New Baskerville" w:hAnsi="New Baskerville"/>
          <w:sz w:val="21"/>
          <w:szCs w:val="21"/>
          <w:lang w:val="en-GB"/>
        </w:rPr>
        <w:t>Details of the length and timetables of the stay</w:t>
      </w:r>
    </w:p>
    <w:p w14:paraId="25180A62" w14:textId="3DA84017" w:rsidR="008B188B" w:rsidRPr="008B188B" w:rsidRDefault="008B188B" w:rsidP="00321A8D">
      <w:pPr>
        <w:spacing w:before="120"/>
        <w:rPr>
          <w:rFonts w:ascii="New Baskerville" w:hAnsi="New Baskerville"/>
          <w:b/>
          <w:bCs/>
          <w:sz w:val="21"/>
          <w:szCs w:val="21"/>
          <w:lang w:val="en-GB"/>
        </w:rPr>
      </w:pPr>
      <w:r w:rsidRPr="008B188B">
        <w:rPr>
          <w:rFonts w:ascii="New Baskerville" w:hAnsi="New Baskerville"/>
          <w:b/>
          <w:bCs/>
          <w:sz w:val="21"/>
          <w:szCs w:val="21"/>
          <w:lang w:val="en-GB"/>
        </w:rPr>
        <w:t xml:space="preserve">Two. Relationship between the student and the collaborating entities </w:t>
      </w:r>
    </w:p>
    <w:p w14:paraId="2653109E" w14:textId="77777777" w:rsidR="008B188B" w:rsidRPr="008B188B" w:rsidRDefault="008B188B" w:rsidP="002B0619">
      <w:pPr>
        <w:jc w:val="both"/>
        <w:rPr>
          <w:rFonts w:ascii="New Baskerville" w:hAnsi="New Baskerville"/>
          <w:sz w:val="21"/>
          <w:szCs w:val="21"/>
          <w:lang w:val="en-GB"/>
        </w:rPr>
      </w:pPr>
      <w:r w:rsidRPr="008B188B">
        <w:rPr>
          <w:rFonts w:ascii="New Baskerville" w:hAnsi="New Baskerville"/>
          <w:sz w:val="21"/>
          <w:szCs w:val="21"/>
          <w:lang w:val="en-GB"/>
        </w:rPr>
        <w:t xml:space="preserve">The relationship between the students and the collaborating entity at which they undertake stays covered by this agreement will not constitute a legal or employment relationship of any kind, nor does it imply any obligation to any economic consideration for any of the parties.  </w:t>
      </w:r>
    </w:p>
    <w:p w14:paraId="5BB14E05"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Three. Commitments of the parties </w:t>
      </w:r>
    </w:p>
    <w:p w14:paraId="3C0B00BD" w14:textId="77777777" w:rsidR="008B188B" w:rsidRPr="008B188B" w:rsidRDefault="008B188B" w:rsidP="008B188B">
      <w:pPr>
        <w:rPr>
          <w:rFonts w:ascii="New Baskerville" w:hAnsi="New Baskerville"/>
          <w:sz w:val="21"/>
          <w:szCs w:val="21"/>
          <w:lang w:val="en-GB"/>
        </w:rPr>
      </w:pPr>
      <w:r w:rsidRPr="008B188B">
        <w:rPr>
          <w:rFonts w:ascii="New Baskerville" w:hAnsi="New Baskerville"/>
          <w:sz w:val="21"/>
          <w:szCs w:val="21"/>
          <w:lang w:val="en-GB"/>
        </w:rPr>
        <w:t xml:space="preserve">The University of Vigo agrees to: </w:t>
      </w:r>
    </w:p>
    <w:p w14:paraId="0D283438" w14:textId="77777777" w:rsidR="008B188B" w:rsidRPr="001F7823" w:rsidRDefault="008B188B" w:rsidP="008B503B">
      <w:pPr>
        <w:pStyle w:val="Prrafodelista"/>
        <w:numPr>
          <w:ilvl w:val="0"/>
          <w:numId w:val="9"/>
        </w:numPr>
        <w:spacing w:after="0"/>
        <w:ind w:left="709"/>
        <w:jc w:val="both"/>
        <w:rPr>
          <w:rFonts w:ascii="New Baskerville" w:hAnsi="New Baskerville"/>
          <w:sz w:val="21"/>
          <w:szCs w:val="21"/>
          <w:lang w:val="en-GB"/>
        </w:rPr>
      </w:pPr>
      <w:r w:rsidRPr="001F7823">
        <w:rPr>
          <w:rFonts w:ascii="New Baskerville" w:hAnsi="New Baskerville"/>
          <w:sz w:val="21"/>
          <w:szCs w:val="21"/>
          <w:lang w:val="en-GB"/>
        </w:rPr>
        <w:t>Name at least one project director, in accordance with the specific norms that regulate the subject, who must collaborate with the person assigned as tutor at the collaborating entity, to ensure that the project can successfully be concluded.</w:t>
      </w:r>
    </w:p>
    <w:p w14:paraId="5A680EDA" w14:textId="77777777" w:rsidR="008B188B" w:rsidRPr="001F7823" w:rsidRDefault="008B188B" w:rsidP="008B503B">
      <w:pPr>
        <w:pStyle w:val="Prrafodelista"/>
        <w:numPr>
          <w:ilvl w:val="0"/>
          <w:numId w:val="9"/>
        </w:numPr>
        <w:spacing w:after="0"/>
        <w:ind w:left="709"/>
        <w:jc w:val="both"/>
        <w:rPr>
          <w:rFonts w:ascii="New Baskerville" w:hAnsi="New Baskerville"/>
          <w:sz w:val="21"/>
          <w:szCs w:val="21"/>
          <w:lang w:val="en-GB"/>
        </w:rPr>
      </w:pPr>
      <w:r w:rsidRPr="001F7823">
        <w:rPr>
          <w:rFonts w:ascii="New Baskerville" w:hAnsi="New Baskerville"/>
          <w:sz w:val="21"/>
          <w:szCs w:val="21"/>
          <w:lang w:val="en-GB"/>
        </w:rPr>
        <w:t>Establish with the collaborating entity the project's objectives and plan before the stay is initiated.</w:t>
      </w:r>
    </w:p>
    <w:p w14:paraId="650E981C" w14:textId="77777777" w:rsidR="008B188B" w:rsidRPr="001F7823" w:rsidRDefault="008B188B" w:rsidP="008B503B">
      <w:pPr>
        <w:pStyle w:val="Prrafodelista"/>
        <w:numPr>
          <w:ilvl w:val="0"/>
          <w:numId w:val="9"/>
        </w:numPr>
        <w:spacing w:after="0"/>
        <w:ind w:left="709"/>
        <w:jc w:val="both"/>
        <w:rPr>
          <w:rFonts w:ascii="New Baskerville" w:hAnsi="New Baskerville"/>
          <w:sz w:val="21"/>
          <w:szCs w:val="21"/>
          <w:lang w:val="en-GB"/>
        </w:rPr>
      </w:pPr>
      <w:r w:rsidRPr="001F7823">
        <w:rPr>
          <w:rFonts w:ascii="New Baskerville" w:hAnsi="New Baskerville"/>
          <w:sz w:val="21"/>
          <w:szCs w:val="21"/>
          <w:lang w:val="en-GB"/>
        </w:rPr>
        <w:t>Inform the student who is to participate in undertaking the actions envisaged in this agreement of its contents.</w:t>
      </w:r>
    </w:p>
    <w:p w14:paraId="7BEE5EFB" w14:textId="15584215" w:rsidR="008B188B" w:rsidRPr="008B188B" w:rsidRDefault="008B188B" w:rsidP="008B503B">
      <w:pPr>
        <w:spacing w:before="120"/>
        <w:rPr>
          <w:rFonts w:ascii="New Baskerville" w:hAnsi="New Baskerville"/>
          <w:sz w:val="21"/>
          <w:szCs w:val="21"/>
          <w:lang w:val="en-GB"/>
        </w:rPr>
      </w:pPr>
      <w:r w:rsidRPr="008B188B">
        <w:rPr>
          <w:rFonts w:ascii="New Baskerville" w:hAnsi="New Baskerville"/>
          <w:sz w:val="21"/>
          <w:szCs w:val="21"/>
          <w:lang w:val="en-GB"/>
        </w:rPr>
        <w:t xml:space="preserve">The collaborating entity agrees to: </w:t>
      </w:r>
    </w:p>
    <w:p w14:paraId="02BECA35"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Name at least one tutor for the project who belongs to the entity and who will monitor the work programme during the student's stay at the collaborating entity.</w:t>
      </w:r>
    </w:p>
    <w:p w14:paraId="6C601304"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Provide the student with appropriate means and facilities for them to undertake the agreed project.</w:t>
      </w:r>
    </w:p>
    <w:p w14:paraId="3CC67066"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Guide and help the student to resolve queries and difficulties.</w:t>
      </w:r>
    </w:p>
    <w:p w14:paraId="23D2D1D9"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 xml:space="preserve">Facilitate the processing of the documentation required by the student for the EDP/EMP to be undertaken, </w:t>
      </w:r>
      <w:proofErr w:type="gramStart"/>
      <w:r w:rsidRPr="008B188B">
        <w:rPr>
          <w:rFonts w:ascii="New Baskerville" w:hAnsi="New Baskerville"/>
          <w:sz w:val="21"/>
          <w:szCs w:val="21"/>
          <w:lang w:val="en-GB"/>
        </w:rPr>
        <w:t>submitted</w:t>
      </w:r>
      <w:proofErr w:type="gramEnd"/>
      <w:r w:rsidRPr="008B188B">
        <w:rPr>
          <w:rFonts w:ascii="New Baskerville" w:hAnsi="New Baskerville"/>
          <w:sz w:val="21"/>
          <w:szCs w:val="21"/>
          <w:lang w:val="en-GB"/>
        </w:rPr>
        <w:t xml:space="preserve"> and defended.</w:t>
      </w:r>
    </w:p>
    <w:p w14:paraId="69C92EAC"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Inform the University of any modifications in the conditions agreed in Annex 1 attached to this agreement.</w:t>
      </w:r>
    </w:p>
    <w:p w14:paraId="66106934" w14:textId="153EADE8" w:rsidR="008B188B" w:rsidRPr="008B188B" w:rsidRDefault="008B188B" w:rsidP="008B503B">
      <w:pPr>
        <w:spacing w:before="120"/>
        <w:rPr>
          <w:rFonts w:ascii="New Baskerville" w:hAnsi="New Baskerville"/>
          <w:b/>
          <w:bCs/>
          <w:sz w:val="21"/>
          <w:szCs w:val="21"/>
          <w:lang w:val="en-GB"/>
        </w:rPr>
      </w:pPr>
      <w:r w:rsidRPr="008B188B">
        <w:rPr>
          <w:rFonts w:ascii="New Baskerville" w:hAnsi="New Baskerville"/>
          <w:b/>
          <w:bCs/>
          <w:sz w:val="21"/>
          <w:szCs w:val="21"/>
          <w:lang w:val="en-GB"/>
        </w:rPr>
        <w:t xml:space="preserve">Four. Rights and obligations of the students </w:t>
      </w:r>
    </w:p>
    <w:p w14:paraId="1EA0DF3D"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Carry out their EDP or EMP with diligence and to the best of their ability, in accordance with the conditions agreed in Annex I of this agreement.</w:t>
      </w:r>
    </w:p>
    <w:p w14:paraId="1CA0D77E"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Communicate any incident that affects correct undertaking to the tutors of the EDP or EMP.</w:t>
      </w:r>
    </w:p>
    <w:p w14:paraId="6177B651"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 xml:space="preserve">Maintain absolute professional secrecy and confidentiality with regard to the information collected during and after their stay at the collaborating </w:t>
      </w:r>
      <w:proofErr w:type="gramStart"/>
      <w:r w:rsidRPr="008B188B">
        <w:rPr>
          <w:rFonts w:ascii="New Baskerville" w:hAnsi="New Baskerville"/>
          <w:sz w:val="21"/>
          <w:szCs w:val="21"/>
          <w:lang w:val="en-GB"/>
        </w:rPr>
        <w:t>entity</w:t>
      </w:r>
      <w:proofErr w:type="gramEnd"/>
    </w:p>
    <w:p w14:paraId="489A2E72"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Know and accept the norms established by the collaborating entity in its security policy and the general regulations on matters of data protection.</w:t>
      </w:r>
    </w:p>
    <w:p w14:paraId="5DF4B044"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Respect the norms for operations, safety and occupational risk prevention indicated by the collaborating entity.</w:t>
      </w:r>
    </w:p>
    <w:p w14:paraId="0F1B0D47"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Receive, when applicable, a payment in the form of a study grant or aid.</w:t>
      </w:r>
    </w:p>
    <w:p w14:paraId="1BD917D7" w14:textId="77777777" w:rsidR="008B188B" w:rsidRPr="008B188B" w:rsidRDefault="008B188B" w:rsidP="008B503B">
      <w:pPr>
        <w:spacing w:before="120"/>
        <w:rPr>
          <w:rFonts w:ascii="New Baskerville" w:hAnsi="New Baskerville"/>
          <w:b/>
          <w:bCs/>
          <w:sz w:val="21"/>
          <w:szCs w:val="21"/>
          <w:lang w:val="en-GB"/>
        </w:rPr>
      </w:pPr>
      <w:r w:rsidRPr="008B188B">
        <w:rPr>
          <w:rFonts w:ascii="New Baskerville" w:hAnsi="New Baskerville"/>
          <w:b/>
          <w:bCs/>
          <w:sz w:val="21"/>
          <w:szCs w:val="21"/>
          <w:lang w:val="en-GB"/>
        </w:rPr>
        <w:lastRenderedPageBreak/>
        <w:t xml:space="preserve">Five.  Work project </w:t>
      </w:r>
    </w:p>
    <w:p w14:paraId="72744BAC" w14:textId="77777777" w:rsidR="008B188B" w:rsidRPr="008B188B" w:rsidRDefault="008B188B" w:rsidP="008B188B">
      <w:pPr>
        <w:rPr>
          <w:rFonts w:ascii="New Baskerville" w:hAnsi="New Baskerville"/>
          <w:sz w:val="21"/>
          <w:szCs w:val="21"/>
          <w:lang w:val="en-GB"/>
        </w:rPr>
      </w:pPr>
      <w:r w:rsidRPr="008B188B">
        <w:rPr>
          <w:rFonts w:ascii="New Baskerville" w:hAnsi="New Baskerville"/>
          <w:sz w:val="21"/>
          <w:szCs w:val="21"/>
          <w:lang w:val="en-GB"/>
        </w:rPr>
        <w:t xml:space="preserve">The project to be undertaken by the students on the EDP or EMP: </w:t>
      </w:r>
    </w:p>
    <w:p w14:paraId="72880B01"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Will be included in Annex I attached to this agreement and should establish a working title and the objectives of the project, as well as a brief description of the activities.</w:t>
      </w:r>
    </w:p>
    <w:p w14:paraId="681B1993"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Should be directly related to the syllabus contents acquired during the years of study.</w:t>
      </w:r>
    </w:p>
    <w:p w14:paraId="72B1121D"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Will be independent and differentiated from the training project, when applicable, that was undertaken as part of a practical placement at the same collaborating entity.</w:t>
      </w:r>
    </w:p>
    <w:p w14:paraId="0E10CA17" w14:textId="77777777" w:rsidR="008B188B" w:rsidRPr="008B188B" w:rsidRDefault="008B188B" w:rsidP="008B503B">
      <w:pPr>
        <w:pStyle w:val="Prrafodelista"/>
        <w:numPr>
          <w:ilvl w:val="0"/>
          <w:numId w:val="9"/>
        </w:numPr>
        <w:spacing w:after="0"/>
        <w:ind w:left="709"/>
        <w:jc w:val="both"/>
        <w:rPr>
          <w:rFonts w:ascii="New Baskerville" w:hAnsi="New Baskerville"/>
          <w:sz w:val="21"/>
          <w:szCs w:val="21"/>
          <w:lang w:val="en-GB"/>
        </w:rPr>
      </w:pPr>
      <w:r w:rsidRPr="008B188B">
        <w:rPr>
          <w:rFonts w:ascii="New Baskerville" w:hAnsi="New Baskerville"/>
          <w:sz w:val="21"/>
          <w:szCs w:val="21"/>
          <w:lang w:val="en-GB"/>
        </w:rPr>
        <w:t xml:space="preserve">Should be undertaken within the limits established by the legal regulations, with </w:t>
      </w:r>
      <w:proofErr w:type="gramStart"/>
      <w:r w:rsidRPr="008B188B">
        <w:rPr>
          <w:rFonts w:ascii="New Baskerville" w:hAnsi="New Baskerville"/>
          <w:sz w:val="21"/>
          <w:szCs w:val="21"/>
          <w:lang w:val="en-GB"/>
        </w:rPr>
        <w:t>particular reference</w:t>
      </w:r>
      <w:proofErr w:type="gramEnd"/>
      <w:r w:rsidRPr="008B188B">
        <w:rPr>
          <w:rFonts w:ascii="New Baskerville" w:hAnsi="New Baskerville"/>
          <w:sz w:val="21"/>
          <w:szCs w:val="21"/>
          <w:lang w:val="en-GB"/>
        </w:rPr>
        <w:t xml:space="preserve"> to those deriving from the ethical commitments assumed by the scientific community and ethical norms.</w:t>
      </w:r>
    </w:p>
    <w:p w14:paraId="35258908" w14:textId="0C6771FE" w:rsidR="008B188B" w:rsidRPr="008B188B" w:rsidRDefault="008B188B" w:rsidP="008B503B">
      <w:pPr>
        <w:spacing w:before="120"/>
        <w:rPr>
          <w:rFonts w:ascii="New Baskerville" w:hAnsi="New Baskerville"/>
          <w:b/>
          <w:bCs/>
          <w:sz w:val="21"/>
          <w:szCs w:val="21"/>
          <w:lang w:val="en-GB"/>
        </w:rPr>
      </w:pPr>
      <w:r w:rsidRPr="008B188B">
        <w:rPr>
          <w:rFonts w:ascii="New Baskerville" w:hAnsi="New Baskerville"/>
          <w:b/>
          <w:bCs/>
          <w:sz w:val="21"/>
          <w:szCs w:val="21"/>
          <w:lang w:val="en-GB"/>
        </w:rPr>
        <w:t xml:space="preserve">Six. Offer and demand of </w:t>
      </w:r>
      <w:proofErr w:type="gramStart"/>
      <w:r w:rsidRPr="008B188B">
        <w:rPr>
          <w:rFonts w:ascii="New Baskerville" w:hAnsi="New Baskerville"/>
          <w:b/>
          <w:bCs/>
          <w:sz w:val="21"/>
          <w:szCs w:val="21"/>
          <w:lang w:val="en-GB"/>
        </w:rPr>
        <w:t>projects</w:t>
      </w:r>
      <w:proofErr w:type="gramEnd"/>
      <w:r w:rsidRPr="008B188B">
        <w:rPr>
          <w:rFonts w:ascii="New Baskerville" w:hAnsi="New Baskerville"/>
          <w:b/>
          <w:bCs/>
          <w:sz w:val="21"/>
          <w:szCs w:val="21"/>
          <w:lang w:val="en-GB"/>
        </w:rPr>
        <w:t xml:space="preserve"> </w:t>
      </w:r>
    </w:p>
    <w:p w14:paraId="7C06C5FA" w14:textId="77777777" w:rsidR="008B188B" w:rsidRPr="008B188B" w:rsidRDefault="008B188B" w:rsidP="006E3716">
      <w:pPr>
        <w:jc w:val="both"/>
        <w:rPr>
          <w:rFonts w:ascii="New Baskerville" w:hAnsi="New Baskerville"/>
          <w:sz w:val="21"/>
          <w:szCs w:val="21"/>
          <w:lang w:val="en-GB"/>
        </w:rPr>
      </w:pPr>
      <w:r w:rsidRPr="008B188B">
        <w:rPr>
          <w:rFonts w:ascii="New Baskerville" w:hAnsi="New Baskerville"/>
          <w:sz w:val="21"/>
          <w:szCs w:val="21"/>
          <w:lang w:val="en-GB"/>
        </w:rPr>
        <w:t xml:space="preserve">The offer of this type of end-of-study projects will be managed by the school or faculty of the University of Vigo to which the degree programme is </w:t>
      </w:r>
      <w:proofErr w:type="gramStart"/>
      <w:r w:rsidRPr="008B188B">
        <w:rPr>
          <w:rFonts w:ascii="New Baskerville" w:hAnsi="New Baskerville"/>
          <w:sz w:val="21"/>
          <w:szCs w:val="21"/>
          <w:lang w:val="en-GB"/>
        </w:rPr>
        <w:t>attached</w:t>
      </w:r>
      <w:proofErr w:type="gramEnd"/>
      <w:r w:rsidRPr="008B188B">
        <w:rPr>
          <w:rFonts w:ascii="New Baskerville" w:hAnsi="New Baskerville"/>
          <w:sz w:val="21"/>
          <w:szCs w:val="21"/>
          <w:lang w:val="en-GB"/>
        </w:rPr>
        <w:t xml:space="preserve"> and the syllabus belongs for the subject of the EDP or EMP in which the interested student is enrolled. In some cases, collaborating entities can propose project offers, which will be considered by the teaching centres (in the case of EDPs) or the academic committee for the master (in the case of EMPs), to assess their suitability and academic coherence as end-of-study projects before they are offered.  </w:t>
      </w:r>
    </w:p>
    <w:p w14:paraId="2AE6125D"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Seven. Length and timetable </w:t>
      </w:r>
    </w:p>
    <w:p w14:paraId="575B4E14" w14:textId="77777777" w:rsidR="008B188B" w:rsidRPr="008B188B" w:rsidRDefault="008B188B" w:rsidP="006E3716">
      <w:pPr>
        <w:jc w:val="both"/>
        <w:rPr>
          <w:rFonts w:ascii="New Baskerville" w:hAnsi="New Baskerville"/>
          <w:sz w:val="21"/>
          <w:szCs w:val="21"/>
          <w:lang w:val="en-GB"/>
        </w:rPr>
      </w:pPr>
      <w:r w:rsidRPr="008B188B">
        <w:rPr>
          <w:rFonts w:ascii="New Baskerville" w:hAnsi="New Baskerville"/>
          <w:sz w:val="21"/>
          <w:szCs w:val="21"/>
          <w:lang w:val="en-GB"/>
        </w:rPr>
        <w:t xml:space="preserve">The duration of the stay at a collaborating entity to support the undertaking of an end-of-study project will not exceed the credits stated for the subject in the qualification's official description.  </w:t>
      </w:r>
    </w:p>
    <w:p w14:paraId="64CF3C5D" w14:textId="77777777" w:rsidR="008B188B" w:rsidRPr="008B188B" w:rsidRDefault="008B188B" w:rsidP="006E3716">
      <w:pPr>
        <w:jc w:val="both"/>
        <w:rPr>
          <w:rFonts w:ascii="New Baskerville" w:hAnsi="New Baskerville"/>
          <w:sz w:val="21"/>
          <w:szCs w:val="21"/>
          <w:lang w:val="en-GB"/>
        </w:rPr>
      </w:pPr>
      <w:r w:rsidRPr="008B188B">
        <w:rPr>
          <w:rFonts w:ascii="New Baskerville" w:hAnsi="New Baskerville"/>
          <w:sz w:val="21"/>
          <w:szCs w:val="21"/>
          <w:lang w:val="en-GB"/>
        </w:rPr>
        <w:t xml:space="preserve">The timetable for the stay of the student at the collaborating entity will be established in accordance with the characteristics of the same and the availability of the collaborating entity and will be included Annex 1attached to this agreement.  </w:t>
      </w:r>
    </w:p>
    <w:p w14:paraId="7D4BB996" w14:textId="77777777" w:rsidR="008B188B" w:rsidRPr="008B188B" w:rsidRDefault="008B188B" w:rsidP="006E3716">
      <w:pPr>
        <w:jc w:val="both"/>
        <w:rPr>
          <w:rFonts w:ascii="New Baskerville" w:hAnsi="New Baskerville"/>
          <w:sz w:val="21"/>
          <w:szCs w:val="21"/>
          <w:lang w:val="en-GB"/>
        </w:rPr>
      </w:pPr>
      <w:r w:rsidRPr="008B188B">
        <w:rPr>
          <w:rFonts w:ascii="New Baskerville" w:hAnsi="New Baskerville"/>
          <w:sz w:val="21"/>
          <w:szCs w:val="21"/>
          <w:lang w:val="en-GB"/>
        </w:rPr>
        <w:t xml:space="preserve">The attendance regime must include the regulation that allows the student to meet their academic, training, </w:t>
      </w:r>
      <w:proofErr w:type="gramStart"/>
      <w:r w:rsidRPr="008B188B">
        <w:rPr>
          <w:rFonts w:ascii="New Baskerville" w:hAnsi="New Baskerville"/>
          <w:sz w:val="21"/>
          <w:szCs w:val="21"/>
          <w:lang w:val="en-GB"/>
        </w:rPr>
        <w:t>representation</w:t>
      </w:r>
      <w:proofErr w:type="gramEnd"/>
      <w:r w:rsidRPr="008B188B">
        <w:rPr>
          <w:rFonts w:ascii="New Baskerville" w:hAnsi="New Baskerville"/>
          <w:sz w:val="21"/>
          <w:szCs w:val="21"/>
          <w:lang w:val="en-GB"/>
        </w:rPr>
        <w:t xml:space="preserve"> and participation responsibilities, and those to reconcile, in the case of students with disabilities, the undertaking of stays with those activities and personal situations derived from or connected to their situation as a person with disability, with sufficient prior notice to the collaborating entity.  </w:t>
      </w:r>
    </w:p>
    <w:p w14:paraId="5D1BAEB8"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Eight. Authorship and intellectual property </w:t>
      </w:r>
    </w:p>
    <w:p w14:paraId="0A0AB32C"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Each student has the right for their authorship to be recognised in the project undertaken during their stay at the collaborating entity as part of their EDP/EMP, </w:t>
      </w:r>
      <w:proofErr w:type="gramStart"/>
      <w:r w:rsidRPr="008B188B">
        <w:rPr>
          <w:rFonts w:ascii="New Baskerville" w:hAnsi="New Baskerville"/>
          <w:sz w:val="21"/>
          <w:szCs w:val="21"/>
          <w:lang w:val="en-GB"/>
        </w:rPr>
        <w:t>and also</w:t>
      </w:r>
      <w:proofErr w:type="gramEnd"/>
      <w:r w:rsidRPr="008B188B">
        <w:rPr>
          <w:rFonts w:ascii="New Baskerville" w:hAnsi="New Baskerville"/>
          <w:sz w:val="21"/>
          <w:szCs w:val="21"/>
          <w:lang w:val="en-GB"/>
        </w:rPr>
        <w:t xml:space="preserve"> the protection of their intellectual property. Ownership of the rights derived can be shared with both the academic tutors (directors) and those at the collaborating entity according to the terms and conditions envisaged in current legislation on matter of intellectual property.  </w:t>
      </w:r>
    </w:p>
    <w:p w14:paraId="578848CB"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The intellectual and industrial property of the EDP/EMP will be in accordance with current legislation. </w:t>
      </w:r>
    </w:p>
    <w:p w14:paraId="225D7B39" w14:textId="1A06345D"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Nine. Confidentiality </w:t>
      </w:r>
    </w:p>
    <w:p w14:paraId="774D0DA0"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Projects undertaken at the facilities of a collaborating entity may contain information that, owing to the relevance it has to the entity’s activity, could require it to be treated with due confidentiality. The academic tutors of an EDP or EMP must maintain confidentiality regarding any information they are party to </w:t>
      </w:r>
      <w:proofErr w:type="gramStart"/>
      <w:r w:rsidRPr="008B188B">
        <w:rPr>
          <w:rFonts w:ascii="New Baskerville" w:hAnsi="New Baskerville"/>
          <w:sz w:val="21"/>
          <w:szCs w:val="21"/>
          <w:lang w:val="en-GB"/>
        </w:rPr>
        <w:t>as a consequence of</w:t>
      </w:r>
      <w:proofErr w:type="gramEnd"/>
      <w:r w:rsidRPr="008B188B">
        <w:rPr>
          <w:rFonts w:ascii="New Baskerville" w:hAnsi="New Baskerville"/>
          <w:sz w:val="21"/>
          <w:szCs w:val="21"/>
          <w:lang w:val="en-GB"/>
        </w:rPr>
        <w:t xml:space="preserve"> their activity as a tutor. Likewise, the student must maintain confidentiality regarding internal information at the collaborating entity and maintain professional secrecy on activities carried out during and after their stay. When necessary, the collaborating entity may demand that both the director and the student sign specific confidentiality agreements. The measures guaranteeing confidentiality in these projects during the acts of undertaking them, </w:t>
      </w:r>
      <w:r w:rsidRPr="008B188B">
        <w:rPr>
          <w:rFonts w:ascii="New Baskerville" w:hAnsi="New Baskerville"/>
          <w:sz w:val="21"/>
          <w:szCs w:val="21"/>
          <w:lang w:val="en-GB"/>
        </w:rPr>
        <w:lastRenderedPageBreak/>
        <w:t xml:space="preserve">submitting </w:t>
      </w:r>
      <w:proofErr w:type="gramStart"/>
      <w:r w:rsidRPr="008B188B">
        <w:rPr>
          <w:rFonts w:ascii="New Baskerville" w:hAnsi="New Baskerville"/>
          <w:sz w:val="21"/>
          <w:szCs w:val="21"/>
          <w:lang w:val="en-GB"/>
        </w:rPr>
        <w:t>them</w:t>
      </w:r>
      <w:proofErr w:type="gramEnd"/>
      <w:r w:rsidRPr="008B188B">
        <w:rPr>
          <w:rFonts w:ascii="New Baskerville" w:hAnsi="New Baskerville"/>
          <w:sz w:val="21"/>
          <w:szCs w:val="21"/>
          <w:lang w:val="en-GB"/>
        </w:rPr>
        <w:t xml:space="preserve"> and defending them are contained in a confidentiality protocol for the EDPs or EMPs and can be activated on request from the collaborating entity or the student authoring the project.  </w:t>
      </w:r>
    </w:p>
    <w:p w14:paraId="62109DBF"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Ten. Insurance cover </w:t>
      </w:r>
    </w:p>
    <w:p w14:paraId="32809482"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Any eventuality in terms of accident or civil liability that may occur during the time the project is undertaken as part of the EDP or EMP during the student's stay at the collaborating entity will be covered</w:t>
      </w:r>
      <w:proofErr w:type="gramStart"/>
      <w:r w:rsidRPr="008B188B">
        <w:rPr>
          <w:rFonts w:ascii="New Baskerville" w:hAnsi="New Baskerville"/>
          <w:sz w:val="21"/>
          <w:szCs w:val="21"/>
          <w:lang w:val="en-GB"/>
        </w:rPr>
        <w:t>, as the case may be, by</w:t>
      </w:r>
      <w:proofErr w:type="gramEnd"/>
      <w:r w:rsidRPr="008B188B">
        <w:rPr>
          <w:rFonts w:ascii="New Baskerville" w:hAnsi="New Baskerville"/>
          <w:sz w:val="21"/>
          <w:szCs w:val="21"/>
          <w:lang w:val="en-GB"/>
        </w:rPr>
        <w:t xml:space="preserve"> the school insurance or by accident or civil liability insurance taken out for this purpose by the University of Vigo. </w:t>
      </w:r>
    </w:p>
    <w:p w14:paraId="09CE1D31"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When undertaking an EDP or EMP abroad, regardless of the modality, students must take out accident insurance at their own expense, including repatriation and civil liability insurance, and must provide a copy of the policy to their supervisor at the collaborating institution at the start of the stay. </w:t>
      </w:r>
    </w:p>
    <w:p w14:paraId="43428BBC"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Eleven. Conflict resolution </w:t>
      </w:r>
    </w:p>
    <w:p w14:paraId="6AF78835"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Any conflict that may arise in undertaking the conditions agreed in Annex I attached to this Agreement shall be resolved by a committee formed ad hoc by a person representing the collaborating entity (other than the person acting as tutor) and by the person who coordinates the study programme to which the student belongs, or the person delegated by him/her. </w:t>
      </w:r>
    </w:p>
    <w:p w14:paraId="35313C16" w14:textId="77777777" w:rsidR="008B188B" w:rsidRPr="008B188B" w:rsidRDefault="008B188B" w:rsidP="0035767D">
      <w:pPr>
        <w:jc w:val="both"/>
        <w:rPr>
          <w:rFonts w:ascii="New Baskerville" w:hAnsi="New Baskerville"/>
          <w:b/>
          <w:bCs/>
          <w:sz w:val="21"/>
          <w:szCs w:val="21"/>
          <w:lang w:val="en-GB"/>
        </w:rPr>
      </w:pPr>
      <w:r w:rsidRPr="008B188B">
        <w:rPr>
          <w:rFonts w:ascii="New Baskerville" w:hAnsi="New Baskerville"/>
          <w:b/>
          <w:bCs/>
          <w:sz w:val="21"/>
          <w:szCs w:val="21"/>
          <w:lang w:val="en-GB"/>
        </w:rPr>
        <w:t xml:space="preserve">Twelve. Duration and grounds for termination of the agreement </w:t>
      </w:r>
    </w:p>
    <w:p w14:paraId="3CDAE1F2"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This agreement shall come into effect on the date of signing and shall have a duration of four years. At any time before the end of the above period, the parties may expressly agree to extend it for a period of up to four additional years. </w:t>
      </w:r>
    </w:p>
    <w:p w14:paraId="341AE578"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This agreement will be terminated by any of the following causes: </w:t>
      </w:r>
    </w:p>
    <w:p w14:paraId="06E1FD4C" w14:textId="77777777" w:rsidR="008B188B" w:rsidRPr="008B188B" w:rsidRDefault="008B188B" w:rsidP="008B503B">
      <w:pPr>
        <w:pStyle w:val="Prrafodelista"/>
        <w:numPr>
          <w:ilvl w:val="0"/>
          <w:numId w:val="9"/>
        </w:numPr>
        <w:spacing w:after="0"/>
        <w:ind w:left="567"/>
        <w:jc w:val="both"/>
        <w:rPr>
          <w:rFonts w:ascii="New Baskerville" w:hAnsi="New Baskerville"/>
          <w:sz w:val="21"/>
          <w:szCs w:val="21"/>
          <w:lang w:val="en-GB"/>
        </w:rPr>
      </w:pPr>
      <w:r w:rsidRPr="008B188B">
        <w:rPr>
          <w:rFonts w:ascii="New Baskerville" w:hAnsi="New Baskerville"/>
          <w:sz w:val="21"/>
          <w:szCs w:val="21"/>
          <w:lang w:val="en-GB"/>
        </w:rPr>
        <w:t>By request for termination by one of the parties. In this case, the interested party must give written notification to the other party at least three months prior to the date on which it intends to terminate the agreement.</w:t>
      </w:r>
    </w:p>
    <w:p w14:paraId="26BEF1C7" w14:textId="77777777" w:rsidR="008B188B" w:rsidRPr="008B188B" w:rsidRDefault="008B188B" w:rsidP="008B503B">
      <w:pPr>
        <w:pStyle w:val="Prrafodelista"/>
        <w:numPr>
          <w:ilvl w:val="0"/>
          <w:numId w:val="9"/>
        </w:numPr>
        <w:spacing w:after="0"/>
        <w:ind w:left="567"/>
        <w:jc w:val="both"/>
        <w:rPr>
          <w:rFonts w:ascii="New Baskerville" w:hAnsi="New Baskerville"/>
          <w:sz w:val="21"/>
          <w:szCs w:val="21"/>
          <w:lang w:val="en-GB"/>
        </w:rPr>
      </w:pPr>
      <w:r w:rsidRPr="008B188B">
        <w:rPr>
          <w:rFonts w:ascii="New Baskerville" w:hAnsi="New Baskerville"/>
          <w:sz w:val="21"/>
          <w:szCs w:val="21"/>
          <w:lang w:val="en-GB"/>
        </w:rPr>
        <w:t>By mutual agreement of the parties, by means of the corresponding written notice.</w:t>
      </w:r>
    </w:p>
    <w:p w14:paraId="064E165E" w14:textId="77777777" w:rsidR="008B188B" w:rsidRPr="008B188B" w:rsidRDefault="008B188B" w:rsidP="008B503B">
      <w:pPr>
        <w:pStyle w:val="Prrafodelista"/>
        <w:numPr>
          <w:ilvl w:val="0"/>
          <w:numId w:val="9"/>
        </w:numPr>
        <w:spacing w:after="0"/>
        <w:ind w:left="567"/>
        <w:jc w:val="both"/>
        <w:rPr>
          <w:rFonts w:ascii="New Baskerville" w:hAnsi="New Baskerville"/>
          <w:sz w:val="21"/>
          <w:szCs w:val="21"/>
          <w:lang w:val="en-GB"/>
        </w:rPr>
      </w:pPr>
      <w:r w:rsidRPr="008B188B">
        <w:rPr>
          <w:rFonts w:ascii="New Baskerville" w:hAnsi="New Baskerville"/>
          <w:sz w:val="21"/>
          <w:szCs w:val="21"/>
          <w:lang w:val="en-GB"/>
        </w:rPr>
        <w:t>By breach of the commitments established in this agreement by either of the parties, having previously been made clear through reliable written communication, and with a period of notice of at least one month, by the party to whom the breach is detrimental.</w:t>
      </w:r>
    </w:p>
    <w:p w14:paraId="7CBCDB07" w14:textId="77777777" w:rsidR="008B188B" w:rsidRPr="008B188B" w:rsidRDefault="008B188B" w:rsidP="008B503B">
      <w:pPr>
        <w:pStyle w:val="Prrafodelista"/>
        <w:numPr>
          <w:ilvl w:val="0"/>
          <w:numId w:val="9"/>
        </w:numPr>
        <w:spacing w:after="0"/>
        <w:ind w:left="567"/>
        <w:jc w:val="both"/>
        <w:rPr>
          <w:rFonts w:ascii="New Baskerville" w:hAnsi="New Baskerville"/>
          <w:sz w:val="21"/>
          <w:szCs w:val="21"/>
          <w:lang w:val="en-GB"/>
        </w:rPr>
      </w:pPr>
      <w:r w:rsidRPr="008B188B">
        <w:rPr>
          <w:rFonts w:ascii="New Baskerville" w:hAnsi="New Baskerville"/>
          <w:sz w:val="21"/>
          <w:szCs w:val="21"/>
          <w:lang w:val="en-GB"/>
        </w:rPr>
        <w:t>By a court decision declaring the agreement null and void.</w:t>
      </w:r>
    </w:p>
    <w:p w14:paraId="742B954C" w14:textId="77777777" w:rsidR="008B188B" w:rsidRPr="008B188B" w:rsidRDefault="008B188B" w:rsidP="008B503B">
      <w:pPr>
        <w:pStyle w:val="Prrafodelista"/>
        <w:numPr>
          <w:ilvl w:val="0"/>
          <w:numId w:val="9"/>
        </w:numPr>
        <w:spacing w:after="0"/>
        <w:ind w:left="567"/>
        <w:jc w:val="both"/>
        <w:rPr>
          <w:rFonts w:ascii="New Baskerville" w:hAnsi="New Baskerville"/>
          <w:sz w:val="21"/>
          <w:szCs w:val="21"/>
          <w:lang w:val="en-GB"/>
        </w:rPr>
      </w:pPr>
      <w:r w:rsidRPr="008B188B">
        <w:rPr>
          <w:rFonts w:ascii="New Baskerville" w:hAnsi="New Baskerville"/>
          <w:sz w:val="21"/>
          <w:szCs w:val="21"/>
          <w:lang w:val="en-GB"/>
        </w:rPr>
        <w:t xml:space="preserve">For any other cause other than the </w:t>
      </w:r>
      <w:proofErr w:type="gramStart"/>
      <w:r w:rsidRPr="008B188B">
        <w:rPr>
          <w:rFonts w:ascii="New Baskerville" w:hAnsi="New Baskerville"/>
          <w:sz w:val="21"/>
          <w:szCs w:val="21"/>
          <w:lang w:val="en-GB"/>
        </w:rPr>
        <w:t>aforementioned that</w:t>
      </w:r>
      <w:proofErr w:type="gramEnd"/>
      <w:r w:rsidRPr="008B188B">
        <w:rPr>
          <w:rFonts w:ascii="New Baskerville" w:hAnsi="New Baskerville"/>
          <w:sz w:val="21"/>
          <w:szCs w:val="21"/>
          <w:lang w:val="en-GB"/>
        </w:rPr>
        <w:t xml:space="preserve"> is provided for by law.</w:t>
      </w:r>
    </w:p>
    <w:p w14:paraId="470B8B41" w14:textId="1FA206F7" w:rsidR="008B188B" w:rsidRPr="008B188B" w:rsidRDefault="008B188B" w:rsidP="008B503B">
      <w:pPr>
        <w:spacing w:before="120"/>
        <w:jc w:val="both"/>
        <w:rPr>
          <w:rFonts w:ascii="New Baskerville" w:hAnsi="New Baskerville"/>
          <w:sz w:val="21"/>
          <w:szCs w:val="21"/>
          <w:lang w:val="en-GB"/>
        </w:rPr>
      </w:pPr>
      <w:r w:rsidRPr="008B188B">
        <w:rPr>
          <w:rFonts w:ascii="New Baskerville" w:hAnsi="New Baskerville"/>
          <w:sz w:val="21"/>
          <w:szCs w:val="21"/>
          <w:lang w:val="en-GB"/>
        </w:rPr>
        <w:t xml:space="preserve">In all events, the parties agree to terminate the development of the activities already started by a student who may be undertaking a stay at the entity at the time of the notification of the complaint. </w:t>
      </w:r>
    </w:p>
    <w:p w14:paraId="20EA2631" w14:textId="248B2F8B" w:rsidR="008B188B" w:rsidRPr="001F7823"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Thirteen. Data protection </w:t>
      </w:r>
    </w:p>
    <w:p w14:paraId="1D713929" w14:textId="4B95DEA7" w:rsidR="00C23704" w:rsidRPr="001F7823" w:rsidRDefault="00C23704" w:rsidP="00C23704">
      <w:pPr>
        <w:jc w:val="both"/>
        <w:rPr>
          <w:rFonts w:ascii="New Baskerville" w:hAnsi="New Baskerville"/>
          <w:color w:val="FF0000"/>
          <w:sz w:val="21"/>
          <w:szCs w:val="21"/>
          <w:lang w:val="en-GB"/>
        </w:rPr>
      </w:pPr>
      <w:r w:rsidRPr="001F7823">
        <w:rPr>
          <w:rFonts w:ascii="New Baskerville" w:hAnsi="New Baskerville"/>
          <w:color w:val="FF0000"/>
          <w:sz w:val="21"/>
          <w:szCs w:val="21"/>
          <w:lang w:val="en-GB"/>
        </w:rPr>
        <w:t>(CHOOSE BETWEEN OPTION A, B OR C, WITH ONLY ONE OPTION REMAINING IN THE AGREEMENT)</w:t>
      </w:r>
    </w:p>
    <w:p w14:paraId="7D2B43DB" w14:textId="46FEEAC4" w:rsidR="00C23704" w:rsidRPr="008B188B" w:rsidRDefault="00C23704" w:rsidP="00C23704">
      <w:pPr>
        <w:jc w:val="both"/>
        <w:rPr>
          <w:rFonts w:ascii="New Baskerville" w:hAnsi="New Baskerville"/>
          <w:sz w:val="21"/>
          <w:szCs w:val="21"/>
          <w:lang w:val="en-GB"/>
        </w:rPr>
      </w:pPr>
      <w:r w:rsidRPr="001F7823">
        <w:rPr>
          <w:rFonts w:ascii="New Baskerville" w:hAnsi="New Baskerville"/>
          <w:b/>
          <w:bCs/>
          <w:sz w:val="21"/>
          <w:szCs w:val="21"/>
          <w:lang w:val="en-GB"/>
        </w:rPr>
        <w:t>OPTION A</w:t>
      </w:r>
      <w:r w:rsidRPr="001F7823">
        <w:rPr>
          <w:rFonts w:ascii="New Baskerville" w:hAnsi="New Baskerville"/>
          <w:sz w:val="21"/>
          <w:szCs w:val="21"/>
          <w:lang w:val="en-GB"/>
        </w:rPr>
        <w:t xml:space="preserve">. CLAUSE IN THE COOPERATION FRAMEWORK AGREEMENT IN THE EUROPEAN ECONOMIC AREA (Spain, the rest of the European Union, Liechtenstein, </w:t>
      </w:r>
      <w:proofErr w:type="gramStart"/>
      <w:r w:rsidRPr="001F7823">
        <w:rPr>
          <w:rFonts w:ascii="New Baskerville" w:hAnsi="New Baskerville"/>
          <w:sz w:val="21"/>
          <w:szCs w:val="21"/>
          <w:lang w:val="en-GB"/>
        </w:rPr>
        <w:t>Iceland</w:t>
      </w:r>
      <w:proofErr w:type="gramEnd"/>
      <w:r w:rsidRPr="001F7823">
        <w:rPr>
          <w:rFonts w:ascii="New Baskerville" w:hAnsi="New Baskerville"/>
          <w:sz w:val="21"/>
          <w:szCs w:val="21"/>
          <w:lang w:val="en-GB"/>
        </w:rPr>
        <w:t xml:space="preserve"> and Norway)</w:t>
      </w:r>
    </w:p>
    <w:p w14:paraId="4FD051FD" w14:textId="77777777" w:rsidR="003D54A7" w:rsidRPr="001F7823" w:rsidRDefault="003D54A7" w:rsidP="008B503B">
      <w:pPr>
        <w:jc w:val="both"/>
        <w:rPr>
          <w:rFonts w:ascii="New Baskerville" w:hAnsi="New Baskerville"/>
          <w:sz w:val="21"/>
          <w:szCs w:val="21"/>
          <w:lang w:val="en-GB"/>
        </w:rPr>
      </w:pPr>
      <w:r w:rsidRPr="001F7823">
        <w:rPr>
          <w:rFonts w:ascii="New Baskerville" w:hAnsi="New Baskerville"/>
          <w:sz w:val="21"/>
          <w:szCs w:val="21"/>
          <w:lang w:val="en-GB"/>
        </w:rPr>
        <w:t xml:space="preserve">The parties declare and commit to properly using the personal data obtained </w:t>
      </w:r>
      <w:proofErr w:type="gramStart"/>
      <w:r w:rsidRPr="001F7823">
        <w:rPr>
          <w:rFonts w:ascii="New Baskerville" w:hAnsi="New Baskerville"/>
          <w:sz w:val="21"/>
          <w:szCs w:val="21"/>
          <w:lang w:val="en-GB"/>
        </w:rPr>
        <w:t>as a result of</w:t>
      </w:r>
      <w:proofErr w:type="gramEnd"/>
      <w:r w:rsidRPr="001F7823">
        <w:rPr>
          <w:rFonts w:ascii="New Baskerville" w:hAnsi="New Baskerville"/>
          <w:sz w:val="21"/>
          <w:szCs w:val="21"/>
          <w:lang w:val="en-GB"/>
        </w:rPr>
        <w:t xml:space="preserve"> the development of this agreement within the framework of the provisions of EU Regulation 2016/679 of the European Parliament and of the Council of 27 April 2016 and </w:t>
      </w:r>
      <w:proofErr w:type="spellStart"/>
      <w:r w:rsidRPr="001F7823">
        <w:rPr>
          <w:rFonts w:ascii="New Baskerville" w:hAnsi="New Baskerville"/>
          <w:sz w:val="21"/>
          <w:szCs w:val="21"/>
          <w:lang w:val="en-GB"/>
        </w:rPr>
        <w:t>and</w:t>
      </w:r>
      <w:proofErr w:type="spellEnd"/>
      <w:r w:rsidRPr="001F7823">
        <w:rPr>
          <w:rFonts w:ascii="New Baskerville" w:hAnsi="New Baskerville"/>
          <w:sz w:val="21"/>
          <w:szCs w:val="21"/>
          <w:lang w:val="en-GB"/>
        </w:rPr>
        <w:t xml:space="preserve"> the implementing rules applicable to each party.</w:t>
      </w:r>
    </w:p>
    <w:p w14:paraId="027FFB67" w14:textId="77777777" w:rsidR="003D54A7" w:rsidRPr="003D54A7" w:rsidRDefault="003D54A7" w:rsidP="003D54A7">
      <w:pPr>
        <w:jc w:val="both"/>
        <w:rPr>
          <w:rFonts w:ascii="New Baskerville" w:hAnsi="New Baskerville"/>
          <w:sz w:val="21"/>
          <w:szCs w:val="21"/>
          <w:lang w:val="en-GB"/>
        </w:rPr>
      </w:pPr>
      <w:r w:rsidRPr="003D54A7">
        <w:rPr>
          <w:rFonts w:ascii="New Baskerville" w:hAnsi="New Baskerville"/>
          <w:sz w:val="21"/>
          <w:szCs w:val="21"/>
          <w:lang w:val="en-GB"/>
        </w:rPr>
        <w:t xml:space="preserve">In the execution of this agreement, the parties declare that they assume the status of independent data controllers, as each party in its own sphere of action determines the means and purposes of the necessary data processing; and that the conditions are not met for them to be considered jointly responsible for the processing under the provisions of the GDPR. Consequently, each of the signatory </w:t>
      </w:r>
      <w:r w:rsidRPr="003D54A7">
        <w:rPr>
          <w:rFonts w:ascii="New Baskerville" w:hAnsi="New Baskerville"/>
          <w:sz w:val="21"/>
          <w:szCs w:val="21"/>
          <w:lang w:val="en-GB"/>
        </w:rPr>
        <w:lastRenderedPageBreak/>
        <w:t>parties shall be individually liable to the data subjects and to the competent supervisory authorities for any failure to comply with their corresponding obligations regarding the protection of personal data, as well as for any infringements they may have committed.</w:t>
      </w:r>
    </w:p>
    <w:p w14:paraId="58025E17" w14:textId="77777777" w:rsidR="003D54A7" w:rsidRPr="003D54A7" w:rsidRDefault="003D54A7" w:rsidP="003D54A7">
      <w:pPr>
        <w:jc w:val="both"/>
        <w:rPr>
          <w:rFonts w:ascii="New Baskerville" w:hAnsi="New Baskerville"/>
          <w:sz w:val="21"/>
          <w:szCs w:val="21"/>
          <w:lang w:val="en-GB"/>
        </w:rPr>
      </w:pPr>
      <w:r w:rsidRPr="003D54A7">
        <w:rPr>
          <w:rFonts w:ascii="New Baskerville" w:hAnsi="New Baskerville"/>
          <w:sz w:val="21"/>
          <w:szCs w:val="21"/>
          <w:lang w:val="en-GB"/>
        </w:rPr>
        <w:t>Interested parties may exercise their rights of access, rectification, cancellation, objection, limitation, and portability under the legal terms provided for, by means of communication to the corresponding registered address of the data controller, as well as, where applicable, by e-mail to the respective data protection delegates. If the request for the exercise of rights is submitted to a party that is not the competent party for its processing and resolution, the latter shall transfer it to the competent party as soon as possible, informing the interested party of this.</w:t>
      </w:r>
    </w:p>
    <w:p w14:paraId="58DC910F" w14:textId="77777777" w:rsidR="003D54A7" w:rsidRPr="001F7823" w:rsidRDefault="003D54A7" w:rsidP="003D54A7">
      <w:pPr>
        <w:jc w:val="both"/>
        <w:rPr>
          <w:rFonts w:ascii="New Baskerville" w:hAnsi="New Baskerville"/>
          <w:sz w:val="21"/>
          <w:szCs w:val="21"/>
          <w:lang w:val="en-GB"/>
        </w:rPr>
      </w:pPr>
      <w:r w:rsidRPr="003D54A7">
        <w:rPr>
          <w:rFonts w:ascii="New Baskerville" w:hAnsi="New Baskerville"/>
          <w:sz w:val="21"/>
          <w:szCs w:val="21"/>
          <w:lang w:val="en-GB"/>
        </w:rPr>
        <w:t xml:space="preserve">If the correct execution of any of the provisions of this agreement requires the transfer of personal data from one of the parties to the other, this will be based on the legitimisation, at least, in the fulfilment of this agreement, in accordance with the provisions of article 6.1.b) of the RGPD, </w:t>
      </w:r>
      <w:proofErr w:type="gramStart"/>
      <w:r w:rsidRPr="003D54A7">
        <w:rPr>
          <w:rFonts w:ascii="New Baskerville" w:hAnsi="New Baskerville"/>
          <w:sz w:val="21"/>
          <w:szCs w:val="21"/>
          <w:lang w:val="en-GB"/>
        </w:rPr>
        <w:t>as long as</w:t>
      </w:r>
      <w:proofErr w:type="gramEnd"/>
      <w:r w:rsidRPr="003D54A7">
        <w:rPr>
          <w:rFonts w:ascii="New Baskerville" w:hAnsi="New Baskerville"/>
          <w:sz w:val="21"/>
          <w:szCs w:val="21"/>
          <w:lang w:val="en-GB"/>
        </w:rPr>
        <w:t xml:space="preserve"> it is limited to the minimum necessary to achieve the objective pursued. In any case, the transferee entity shall adopt the appropriate measures to limit the access of its employees to the personal data transferred during the term of this agreement.</w:t>
      </w:r>
    </w:p>
    <w:p w14:paraId="0FD1120C" w14:textId="563CDC68" w:rsidR="002F6A9E" w:rsidRPr="001F7823" w:rsidRDefault="002F6A9E" w:rsidP="003D54A7">
      <w:pPr>
        <w:jc w:val="both"/>
        <w:rPr>
          <w:rFonts w:ascii="New Baskerville" w:hAnsi="New Baskerville"/>
          <w:sz w:val="21"/>
          <w:szCs w:val="21"/>
          <w:lang w:val="en-GB"/>
        </w:rPr>
      </w:pPr>
      <w:r w:rsidRPr="001F7823">
        <w:rPr>
          <w:rFonts w:ascii="New Baskerville" w:hAnsi="New Baskerville"/>
          <w:sz w:val="21"/>
          <w:szCs w:val="21"/>
          <w:lang w:val="en-GB"/>
        </w:rPr>
        <w:t>Notwithstanding the above, the personal data contained in this agreement relating to the signatories shall and/or may be subject to those actions arising from the application and compliance with the regulations on transparency and access to public information applicable to the Universidade de Vigo and, where appropriate, to the other party.</w:t>
      </w:r>
    </w:p>
    <w:p w14:paraId="07590F68" w14:textId="77777777" w:rsidR="00C23704" w:rsidRPr="00C23704" w:rsidRDefault="00C23704" w:rsidP="00C23704">
      <w:pPr>
        <w:jc w:val="both"/>
        <w:rPr>
          <w:rFonts w:ascii="New Baskerville" w:hAnsi="New Baskerville"/>
          <w:sz w:val="21"/>
          <w:szCs w:val="21"/>
          <w:vertAlign w:val="superscript"/>
          <w:lang w:val="en-GB"/>
        </w:rPr>
      </w:pPr>
      <w:bookmarkStart w:id="0" w:name="_Hlk132978161"/>
      <w:r w:rsidRPr="00C23704">
        <w:rPr>
          <w:rFonts w:ascii="New Baskerville" w:hAnsi="New Baskerville"/>
          <w:b/>
          <w:sz w:val="21"/>
          <w:szCs w:val="21"/>
          <w:lang w:val="en-GB"/>
        </w:rPr>
        <w:t xml:space="preserve">OPTION B. </w:t>
      </w:r>
      <w:r w:rsidRPr="00C23704">
        <w:rPr>
          <w:rFonts w:ascii="New Baskerville" w:hAnsi="New Baskerville"/>
          <w:sz w:val="21"/>
          <w:szCs w:val="21"/>
          <w:lang w:val="en-GB"/>
        </w:rPr>
        <w:t>CLAUSE IN THE COOPERATION FRAMEWORK AGREEMENT BETWEEN COUNTRIES DECLARED AS ADEQUATE BY THE EUROPEAN COMMISION</w:t>
      </w:r>
      <w:r w:rsidRPr="00C23704">
        <w:rPr>
          <w:rFonts w:ascii="New Baskerville" w:hAnsi="New Baskerville"/>
          <w:sz w:val="21"/>
          <w:szCs w:val="21"/>
          <w:vertAlign w:val="superscript"/>
          <w:lang w:val="en-GB"/>
        </w:rPr>
        <w:footnoteReference w:id="1"/>
      </w:r>
    </w:p>
    <w:bookmarkEnd w:id="0"/>
    <w:p w14:paraId="18BF1AA9" w14:textId="77777777" w:rsidR="00C23704" w:rsidRPr="001F7823" w:rsidRDefault="00C23704" w:rsidP="00C23704">
      <w:pPr>
        <w:jc w:val="both"/>
        <w:rPr>
          <w:rFonts w:ascii="New Baskerville" w:hAnsi="New Baskerville"/>
          <w:sz w:val="21"/>
          <w:szCs w:val="21"/>
          <w:lang w:val="en-GB"/>
        </w:rPr>
      </w:pPr>
      <w:r w:rsidRPr="001F7823">
        <w:rPr>
          <w:rFonts w:ascii="New Baskerville" w:hAnsi="New Baskerville"/>
          <w:sz w:val="21"/>
          <w:szCs w:val="21"/>
          <w:lang w:val="en-GB"/>
        </w:rPr>
        <w:t xml:space="preserve">The parties state and undertake to properly using the personal data that are processed </w:t>
      </w:r>
      <w:proofErr w:type="gramStart"/>
      <w:r w:rsidRPr="001F7823">
        <w:rPr>
          <w:rFonts w:ascii="New Baskerville" w:hAnsi="New Baskerville"/>
          <w:sz w:val="21"/>
          <w:szCs w:val="21"/>
          <w:lang w:val="en-GB"/>
        </w:rPr>
        <w:t>as a result of</w:t>
      </w:r>
      <w:proofErr w:type="gramEnd"/>
      <w:r w:rsidRPr="001F7823">
        <w:rPr>
          <w:rFonts w:ascii="New Baskerville" w:hAnsi="New Baskerville"/>
          <w:sz w:val="21"/>
          <w:szCs w:val="21"/>
          <w:lang w:val="en-GB"/>
        </w:rPr>
        <w:t xml:space="preserve"> the development of this agreement within the framework of the provisions of the regulations in this area that are applicable to each party.</w:t>
      </w:r>
    </w:p>
    <w:p w14:paraId="766E847A" w14:textId="77777777" w:rsidR="00C23704" w:rsidRPr="001F7823" w:rsidRDefault="00C23704" w:rsidP="00C23704">
      <w:pPr>
        <w:jc w:val="both"/>
        <w:rPr>
          <w:rFonts w:ascii="New Baskerville" w:hAnsi="New Baskerville"/>
          <w:sz w:val="21"/>
          <w:szCs w:val="21"/>
          <w:lang w:val="en-GB"/>
        </w:rPr>
      </w:pPr>
      <w:r w:rsidRPr="001F7823">
        <w:rPr>
          <w:rFonts w:ascii="New Baskerville" w:hAnsi="New Baskerville"/>
          <w:sz w:val="21"/>
          <w:szCs w:val="21"/>
          <w:lang w:val="en-GB"/>
        </w:rPr>
        <w:t>a) In the case of the University of Vigo, it will be Regulation (EU) 2016/679 of the European Parliament and of the Council, of 27 April 2016 (RGPD), Organic Law 3/2018, of 5 December, on the protection of personal data and guarantee of digital rights (LOPDGDD) and other implementing regulations.</w:t>
      </w:r>
    </w:p>
    <w:p w14:paraId="6E9FDE34" w14:textId="11FC9BEF" w:rsidR="00C23704" w:rsidRPr="001F7823" w:rsidRDefault="00C23704" w:rsidP="00C23704">
      <w:pPr>
        <w:jc w:val="both"/>
        <w:rPr>
          <w:rFonts w:ascii="New Baskerville" w:hAnsi="New Baskerville"/>
          <w:sz w:val="21"/>
          <w:szCs w:val="21"/>
          <w:lang w:val="en-GB"/>
        </w:rPr>
      </w:pPr>
      <w:r w:rsidRPr="001F7823">
        <w:rPr>
          <w:rFonts w:ascii="New Baskerville" w:hAnsi="New Baskerville"/>
          <w:sz w:val="21"/>
          <w:szCs w:val="21"/>
          <w:lang w:val="en-GB"/>
        </w:rPr>
        <w:t>B) In the case of __________ (</w:t>
      </w:r>
      <w:r w:rsidRPr="001F7823">
        <w:rPr>
          <w:rFonts w:ascii="New Baskerville" w:hAnsi="New Baskerville"/>
          <w:i/>
          <w:iCs/>
          <w:sz w:val="21"/>
          <w:szCs w:val="21"/>
          <w:highlight w:val="lightGray"/>
          <w:lang w:val="en-GB"/>
        </w:rPr>
        <w:t xml:space="preserve">name of the company, research </w:t>
      </w:r>
      <w:proofErr w:type="spellStart"/>
      <w:r w:rsidRPr="001F7823">
        <w:rPr>
          <w:rFonts w:ascii="New Baskerville" w:hAnsi="New Baskerville"/>
          <w:i/>
          <w:iCs/>
          <w:sz w:val="21"/>
          <w:szCs w:val="21"/>
          <w:highlight w:val="lightGray"/>
          <w:lang w:val="en-GB"/>
        </w:rPr>
        <w:t>center</w:t>
      </w:r>
      <w:proofErr w:type="spellEnd"/>
      <w:r w:rsidRPr="001F7823">
        <w:rPr>
          <w:rFonts w:ascii="New Baskerville" w:hAnsi="New Baskerville"/>
          <w:i/>
          <w:iCs/>
          <w:sz w:val="21"/>
          <w:szCs w:val="21"/>
          <w:highlight w:val="lightGray"/>
          <w:lang w:val="en-GB"/>
        </w:rPr>
        <w:t xml:space="preserve"> or other external collaborating entity</w:t>
      </w:r>
      <w:r w:rsidRPr="001F7823">
        <w:rPr>
          <w:rFonts w:ascii="New Baskerville" w:hAnsi="New Baskerville"/>
          <w:sz w:val="21"/>
          <w:szCs w:val="21"/>
          <w:lang w:val="en-GB"/>
        </w:rPr>
        <w:t xml:space="preserve">), and considering that it belongs to __________ </w:t>
      </w:r>
      <w:r w:rsidRPr="001F7823">
        <w:rPr>
          <w:rFonts w:ascii="New Baskerville" w:hAnsi="New Baskerville"/>
          <w:sz w:val="21"/>
          <w:szCs w:val="21"/>
          <w:highlight w:val="lightGray"/>
          <w:lang w:val="en-GB"/>
        </w:rPr>
        <w:t>(</w:t>
      </w:r>
      <w:r w:rsidRPr="001F7823">
        <w:rPr>
          <w:rFonts w:ascii="New Baskerville" w:hAnsi="New Baskerville"/>
          <w:i/>
          <w:iCs/>
          <w:sz w:val="21"/>
          <w:szCs w:val="21"/>
          <w:highlight w:val="lightGray"/>
          <w:lang w:val="en-GB"/>
        </w:rPr>
        <w:t>country</w:t>
      </w:r>
      <w:r w:rsidRPr="001F7823">
        <w:rPr>
          <w:rFonts w:ascii="New Baskerville" w:hAnsi="New Baskerville"/>
          <w:sz w:val="21"/>
          <w:szCs w:val="21"/>
          <w:lang w:val="en-GB"/>
        </w:rPr>
        <w:t xml:space="preserve">), which has a declaration of adequacy from the European Commission adopted in accordance with the provisions of Article 45 of the RGPD as stated on the </w:t>
      </w:r>
      <w:hyperlink r:id="rId7" w:history="1">
        <w:r w:rsidRPr="001F7823">
          <w:rPr>
            <w:rStyle w:val="Hipervnculo"/>
            <w:rFonts w:ascii="New Baskerville" w:hAnsi="New Baskerville"/>
            <w:sz w:val="21"/>
            <w:szCs w:val="21"/>
            <w:lang w:val="en-GB"/>
          </w:rPr>
          <w:t>website of the Spanish Data Protection Agency</w:t>
        </w:r>
      </w:hyperlink>
      <w:r w:rsidRPr="001F7823">
        <w:rPr>
          <w:rFonts w:ascii="New Baskerville" w:hAnsi="New Baskerville"/>
          <w:sz w:val="21"/>
          <w:szCs w:val="21"/>
          <w:lang w:val="en-GB"/>
        </w:rPr>
        <w:t>, the country's regulations on data protection will be applied.</w:t>
      </w:r>
    </w:p>
    <w:p w14:paraId="6B7DCD7F" w14:textId="77777777" w:rsidR="004D7D87" w:rsidRPr="004D7D87" w:rsidRDefault="004D7D87" w:rsidP="004D7D87">
      <w:pPr>
        <w:jc w:val="both"/>
        <w:rPr>
          <w:rFonts w:ascii="New Baskerville" w:hAnsi="New Baskerville"/>
          <w:sz w:val="21"/>
          <w:szCs w:val="21"/>
          <w:lang w:val="en-GB"/>
        </w:rPr>
      </w:pPr>
      <w:r w:rsidRPr="004D7D87">
        <w:rPr>
          <w:rFonts w:ascii="New Baskerville" w:hAnsi="New Baskerville"/>
          <w:sz w:val="21"/>
          <w:szCs w:val="21"/>
          <w:lang w:val="en-GB"/>
        </w:rPr>
        <w:t>In the execution of this agreement, the parties declare that they assume the status of independent data controllers, as each party in its own sphere of action determines the means and purposes of the necessary data processing; and that the conditions are not met for them to be considered jointly responsible for the processing under the provisions of the GDPR. Consequently, each of the signatory parties shall be individually liable to the data subjects and to the competent supervisory authorities for any failure to comply with their corresponding obligations regarding the protection of personal data, as well as for any infringements they may have committed.</w:t>
      </w:r>
    </w:p>
    <w:p w14:paraId="6C783194" w14:textId="77777777" w:rsidR="004D7D87" w:rsidRPr="004D7D87" w:rsidRDefault="004D7D87" w:rsidP="004D7D87">
      <w:pPr>
        <w:jc w:val="both"/>
        <w:rPr>
          <w:rFonts w:ascii="New Baskerville" w:hAnsi="New Baskerville"/>
          <w:sz w:val="21"/>
          <w:szCs w:val="21"/>
          <w:lang w:val="en-GB"/>
        </w:rPr>
      </w:pPr>
      <w:r w:rsidRPr="004D7D87">
        <w:rPr>
          <w:rFonts w:ascii="New Baskerville" w:hAnsi="New Baskerville"/>
          <w:sz w:val="21"/>
          <w:szCs w:val="21"/>
          <w:lang w:val="en-GB"/>
        </w:rPr>
        <w:t xml:space="preserve">Interested parties may exercise their rights of access, rectification, cancellation, objection, limitation, and portability under the legal terms provided for, by means of communication to the corresponding registered address of the data controller, as well as, where applicable, by e-mail to the respective data protection delegates. If the request for the exercise of rights is submitted to a party that is not the </w:t>
      </w:r>
      <w:r w:rsidRPr="004D7D87">
        <w:rPr>
          <w:rFonts w:ascii="New Baskerville" w:hAnsi="New Baskerville"/>
          <w:sz w:val="21"/>
          <w:szCs w:val="21"/>
          <w:lang w:val="en-GB"/>
        </w:rPr>
        <w:lastRenderedPageBreak/>
        <w:t>competent party for its processing and resolution, the latter shall transfer it to the competent party as soon as possible, informing the interested party of this.</w:t>
      </w:r>
    </w:p>
    <w:p w14:paraId="222D90B5" w14:textId="77777777" w:rsidR="004D7D87" w:rsidRPr="004D7D87" w:rsidRDefault="004D7D87" w:rsidP="004D7D87">
      <w:pPr>
        <w:jc w:val="both"/>
        <w:rPr>
          <w:rFonts w:ascii="New Baskerville" w:hAnsi="New Baskerville"/>
          <w:sz w:val="21"/>
          <w:szCs w:val="21"/>
          <w:lang w:val="en-GB"/>
        </w:rPr>
      </w:pPr>
      <w:r w:rsidRPr="004D7D87">
        <w:rPr>
          <w:rFonts w:ascii="New Baskerville" w:hAnsi="New Baskerville"/>
          <w:sz w:val="21"/>
          <w:szCs w:val="21"/>
          <w:lang w:val="en-GB"/>
        </w:rPr>
        <w:t xml:space="preserve">If the correct execution of any of the provisions of this agreement requires the transfer of personal data from one of the parties to the other, this will be based on the legitimisation, at least, in the fulfilment of this agreement, in accordance with the provisions of article 6.1.b) of the RGPD, </w:t>
      </w:r>
      <w:proofErr w:type="gramStart"/>
      <w:r w:rsidRPr="004D7D87">
        <w:rPr>
          <w:rFonts w:ascii="New Baskerville" w:hAnsi="New Baskerville"/>
          <w:sz w:val="21"/>
          <w:szCs w:val="21"/>
          <w:lang w:val="en-GB"/>
        </w:rPr>
        <w:t>as long as</w:t>
      </w:r>
      <w:proofErr w:type="gramEnd"/>
      <w:r w:rsidRPr="004D7D87">
        <w:rPr>
          <w:rFonts w:ascii="New Baskerville" w:hAnsi="New Baskerville"/>
          <w:sz w:val="21"/>
          <w:szCs w:val="21"/>
          <w:lang w:val="en-GB"/>
        </w:rPr>
        <w:t xml:space="preserve"> it is limited to the minimum necessary to achieve the objective pursued. In any case, the transferee entity shall adopt the appropriate measures to limit the access of its employees to the personal data transferred during the term of this agreement.</w:t>
      </w:r>
    </w:p>
    <w:p w14:paraId="59307988" w14:textId="77777777" w:rsidR="004D7D87" w:rsidRPr="001F7823" w:rsidRDefault="004D7D87" w:rsidP="004D7D87">
      <w:pPr>
        <w:jc w:val="both"/>
        <w:rPr>
          <w:rFonts w:ascii="New Baskerville" w:hAnsi="New Baskerville"/>
          <w:sz w:val="21"/>
          <w:szCs w:val="21"/>
          <w:lang w:val="en-GB"/>
        </w:rPr>
      </w:pPr>
      <w:r w:rsidRPr="001F7823">
        <w:rPr>
          <w:rFonts w:ascii="New Baskerville" w:hAnsi="New Baskerville"/>
          <w:sz w:val="21"/>
          <w:szCs w:val="21"/>
          <w:lang w:val="en-GB"/>
        </w:rPr>
        <w:t>Notwithstanding the above, the personal data contained in this agreement relating to the signatories shall and/or may be subject to those actions arising from the application and compliance with the regulations on transparency and access to public information applicable to the Universidade de Vigo and, where appropriate, to the other party.</w:t>
      </w:r>
    </w:p>
    <w:p w14:paraId="6E69E40D" w14:textId="77777777" w:rsidR="004D7D87" w:rsidRPr="001F7823" w:rsidRDefault="004D7D87" w:rsidP="004D7D87">
      <w:pPr>
        <w:rPr>
          <w:rFonts w:ascii="New Baskerville" w:hAnsi="New Baskerville"/>
          <w:sz w:val="21"/>
          <w:szCs w:val="21"/>
          <w:lang w:val="en-GB"/>
        </w:rPr>
      </w:pPr>
      <w:r w:rsidRPr="004D7D87">
        <w:rPr>
          <w:rFonts w:ascii="New Baskerville" w:hAnsi="New Baskerville"/>
          <w:b/>
          <w:bCs/>
          <w:sz w:val="21"/>
          <w:szCs w:val="21"/>
          <w:lang w:val="en-GB"/>
        </w:rPr>
        <w:t xml:space="preserve">OPTION C. </w:t>
      </w:r>
      <w:r w:rsidRPr="004D7D87">
        <w:rPr>
          <w:rFonts w:ascii="New Baskerville" w:hAnsi="New Baskerville"/>
          <w:sz w:val="21"/>
          <w:szCs w:val="21"/>
          <w:lang w:val="en-GB"/>
        </w:rPr>
        <w:t>CLAUSE IN THE COOPERATION FRAMEWORK AGREEMENT WITH THIRD COUNTRIES OTHER THAN THOSE MENTIONED ABOVE</w:t>
      </w:r>
    </w:p>
    <w:p w14:paraId="5DEF7B5E" w14:textId="77777777" w:rsidR="004D7D87" w:rsidRPr="001F7823" w:rsidRDefault="004D7D87" w:rsidP="004D7D87">
      <w:pPr>
        <w:jc w:val="both"/>
        <w:rPr>
          <w:rFonts w:ascii="New Baskerville" w:hAnsi="New Baskerville"/>
          <w:sz w:val="21"/>
          <w:szCs w:val="21"/>
          <w:lang w:val="en-GB"/>
        </w:rPr>
      </w:pPr>
      <w:r w:rsidRPr="001F7823">
        <w:rPr>
          <w:rFonts w:ascii="New Baskerville" w:hAnsi="New Baskerville"/>
          <w:sz w:val="21"/>
          <w:szCs w:val="21"/>
          <w:lang w:val="en-GB"/>
        </w:rPr>
        <w:t xml:space="preserve">The parties state and undertake to properly using the personal data that are processed </w:t>
      </w:r>
      <w:proofErr w:type="gramStart"/>
      <w:r w:rsidRPr="001F7823">
        <w:rPr>
          <w:rFonts w:ascii="New Baskerville" w:hAnsi="New Baskerville"/>
          <w:sz w:val="21"/>
          <w:szCs w:val="21"/>
          <w:lang w:val="en-GB"/>
        </w:rPr>
        <w:t>as a result of</w:t>
      </w:r>
      <w:proofErr w:type="gramEnd"/>
      <w:r w:rsidRPr="001F7823">
        <w:rPr>
          <w:rFonts w:ascii="New Baskerville" w:hAnsi="New Baskerville"/>
          <w:sz w:val="21"/>
          <w:szCs w:val="21"/>
          <w:lang w:val="en-GB"/>
        </w:rPr>
        <w:t xml:space="preserve"> the development of this agreement within the framework of the provisions of the regulations in this area that are applicable to each party.</w:t>
      </w:r>
    </w:p>
    <w:p w14:paraId="475CBDB5" w14:textId="77777777" w:rsidR="004D7D87" w:rsidRPr="001F7823" w:rsidRDefault="004D7D87" w:rsidP="004D7D87">
      <w:pPr>
        <w:jc w:val="both"/>
        <w:rPr>
          <w:rFonts w:ascii="New Baskerville" w:hAnsi="New Baskerville"/>
          <w:sz w:val="21"/>
          <w:szCs w:val="21"/>
          <w:lang w:val="en-GB"/>
        </w:rPr>
      </w:pPr>
      <w:r w:rsidRPr="001F7823">
        <w:rPr>
          <w:rFonts w:ascii="New Baskerville" w:hAnsi="New Baskerville"/>
          <w:sz w:val="21"/>
          <w:szCs w:val="21"/>
          <w:lang w:val="en-GB"/>
        </w:rPr>
        <w:t>a) In the case of the University of Vigo, it will be Regulation (EU) 2016/679 of the European Parliament and of the Council, of 27 April 2016 (RGPD), Organic Law 3/2018, of 5 December, on the protection of personal data and guarantee of digital rights (LOPDGDD) and other implementing regulations.</w:t>
      </w:r>
    </w:p>
    <w:p w14:paraId="4BE6AC8F" w14:textId="45F171AD" w:rsidR="004D7D87" w:rsidRPr="001F7823" w:rsidRDefault="004D7D87" w:rsidP="004D7D87">
      <w:pPr>
        <w:jc w:val="both"/>
        <w:rPr>
          <w:rFonts w:ascii="New Baskerville" w:hAnsi="New Baskerville"/>
          <w:sz w:val="21"/>
          <w:szCs w:val="21"/>
          <w:lang w:val="en-GB"/>
        </w:rPr>
      </w:pPr>
      <w:r w:rsidRPr="001F7823">
        <w:rPr>
          <w:rFonts w:ascii="New Baskerville" w:hAnsi="New Baskerville"/>
          <w:sz w:val="21"/>
          <w:szCs w:val="21"/>
          <w:lang w:val="en-GB"/>
        </w:rPr>
        <w:t>B) In the case of __________ (</w:t>
      </w:r>
      <w:r w:rsidRPr="001F7823">
        <w:rPr>
          <w:rFonts w:ascii="New Baskerville" w:hAnsi="New Baskerville"/>
          <w:i/>
          <w:iCs/>
          <w:sz w:val="21"/>
          <w:szCs w:val="21"/>
          <w:highlight w:val="lightGray"/>
          <w:lang w:val="en-GB"/>
        </w:rPr>
        <w:t xml:space="preserve">name of the company, research </w:t>
      </w:r>
      <w:proofErr w:type="spellStart"/>
      <w:r w:rsidRPr="001F7823">
        <w:rPr>
          <w:rFonts w:ascii="New Baskerville" w:hAnsi="New Baskerville"/>
          <w:i/>
          <w:iCs/>
          <w:sz w:val="21"/>
          <w:szCs w:val="21"/>
          <w:highlight w:val="lightGray"/>
          <w:lang w:val="en-GB"/>
        </w:rPr>
        <w:t>center</w:t>
      </w:r>
      <w:proofErr w:type="spellEnd"/>
      <w:r w:rsidRPr="001F7823">
        <w:rPr>
          <w:rFonts w:ascii="New Baskerville" w:hAnsi="New Baskerville"/>
          <w:i/>
          <w:iCs/>
          <w:sz w:val="21"/>
          <w:szCs w:val="21"/>
          <w:highlight w:val="lightGray"/>
          <w:lang w:val="en-GB"/>
        </w:rPr>
        <w:t xml:space="preserve"> or other external collaborating entity</w:t>
      </w:r>
      <w:r w:rsidRPr="001F7823">
        <w:rPr>
          <w:rFonts w:ascii="New Baskerville" w:hAnsi="New Baskerville"/>
          <w:i/>
          <w:iCs/>
          <w:sz w:val="21"/>
          <w:szCs w:val="21"/>
          <w:lang w:val="en-GB"/>
        </w:rPr>
        <w:t>)</w:t>
      </w:r>
      <w:r w:rsidRPr="001F7823">
        <w:rPr>
          <w:rFonts w:ascii="New Baskerville" w:hAnsi="New Baskerville"/>
          <w:sz w:val="21"/>
          <w:szCs w:val="21"/>
          <w:lang w:val="en-GB"/>
        </w:rPr>
        <w:t>, the country's regulations on data protection will be applied.</w:t>
      </w:r>
    </w:p>
    <w:p w14:paraId="09CFDFBA" w14:textId="77777777" w:rsidR="004D7D87" w:rsidRPr="001F7823" w:rsidRDefault="004D7D87" w:rsidP="004D7D87">
      <w:pPr>
        <w:jc w:val="both"/>
        <w:rPr>
          <w:rFonts w:ascii="New Baskerville" w:hAnsi="New Baskerville"/>
          <w:sz w:val="21"/>
          <w:szCs w:val="21"/>
          <w:lang w:val="en-GB"/>
        </w:rPr>
      </w:pPr>
      <w:r w:rsidRPr="001F7823">
        <w:rPr>
          <w:rFonts w:ascii="New Baskerville" w:hAnsi="New Baskerville"/>
          <w:sz w:val="21"/>
          <w:szCs w:val="21"/>
          <w:lang w:val="en-GB"/>
        </w:rPr>
        <w:t>Given that __________ (</w:t>
      </w:r>
      <w:r w:rsidRPr="001F7823">
        <w:rPr>
          <w:rFonts w:ascii="New Baskerville" w:hAnsi="New Baskerville"/>
          <w:i/>
          <w:iCs/>
          <w:sz w:val="21"/>
          <w:szCs w:val="21"/>
          <w:highlight w:val="lightGray"/>
          <w:lang w:val="en-GB"/>
        </w:rPr>
        <w:t xml:space="preserve">name of the company, research </w:t>
      </w:r>
      <w:proofErr w:type="spellStart"/>
      <w:r w:rsidRPr="001F7823">
        <w:rPr>
          <w:rFonts w:ascii="New Baskerville" w:hAnsi="New Baskerville"/>
          <w:i/>
          <w:iCs/>
          <w:sz w:val="21"/>
          <w:szCs w:val="21"/>
          <w:highlight w:val="lightGray"/>
          <w:lang w:val="en-GB"/>
        </w:rPr>
        <w:t>center</w:t>
      </w:r>
      <w:proofErr w:type="spellEnd"/>
      <w:r w:rsidRPr="001F7823">
        <w:rPr>
          <w:rFonts w:ascii="New Baskerville" w:hAnsi="New Baskerville"/>
          <w:i/>
          <w:iCs/>
          <w:sz w:val="21"/>
          <w:szCs w:val="21"/>
          <w:highlight w:val="lightGray"/>
          <w:lang w:val="en-GB"/>
        </w:rPr>
        <w:t xml:space="preserve"> or other external collaborating entity</w:t>
      </w:r>
      <w:r w:rsidRPr="001F7823">
        <w:rPr>
          <w:rFonts w:ascii="New Baskerville" w:hAnsi="New Baskerville"/>
          <w:sz w:val="21"/>
          <w:szCs w:val="21"/>
          <w:lang w:val="en-GB"/>
        </w:rPr>
        <w:t>) belongs to a country that does not currently have a declaration of adequacy from the European Commission adopted in accordance with the provisions of Article 45 of the RGPD, the University of Vigo may only carry out the international transfer of personal data necessary for the proper execution of this agreement, and for which it is responsible for the processing, if adequate guarantees are provided in accordance with the provisions of Articles 46 and following of the RXPD.</w:t>
      </w:r>
    </w:p>
    <w:p w14:paraId="1100AE9B" w14:textId="77777777" w:rsidR="001341A3" w:rsidRPr="001F7823" w:rsidRDefault="001341A3" w:rsidP="001341A3">
      <w:pPr>
        <w:jc w:val="both"/>
        <w:rPr>
          <w:rFonts w:ascii="New Baskerville" w:hAnsi="New Baskerville"/>
          <w:sz w:val="21"/>
          <w:szCs w:val="21"/>
          <w:lang w:val="en-GB"/>
        </w:rPr>
      </w:pPr>
      <w:r w:rsidRPr="001F7823">
        <w:rPr>
          <w:rFonts w:ascii="New Baskerville" w:hAnsi="New Baskerville"/>
          <w:sz w:val="21"/>
          <w:szCs w:val="21"/>
          <w:lang w:val="en-GB"/>
        </w:rPr>
        <w:t>Therefore, and in accordance with its legal system, having the status of (</w:t>
      </w:r>
      <w:r w:rsidRPr="001F7823">
        <w:rPr>
          <w:rFonts w:ascii="New Baskerville" w:hAnsi="New Baskerville"/>
          <w:color w:val="FF0000"/>
          <w:sz w:val="21"/>
          <w:szCs w:val="21"/>
          <w:lang w:val="en-GB"/>
        </w:rPr>
        <w:t>Choose the appropriate option</w:t>
      </w:r>
      <w:r w:rsidRPr="001F7823">
        <w:rPr>
          <w:rFonts w:ascii="New Baskerville" w:hAnsi="New Baskerville"/>
          <w:sz w:val="21"/>
          <w:szCs w:val="21"/>
          <w:lang w:val="en-GB"/>
        </w:rPr>
        <w:t>)</w:t>
      </w:r>
    </w:p>
    <w:p w14:paraId="62373252" w14:textId="6845480E" w:rsidR="001341A3" w:rsidRPr="001F7823" w:rsidRDefault="001341A3" w:rsidP="001341A3">
      <w:pPr>
        <w:pStyle w:val="Prrafodelista"/>
        <w:numPr>
          <w:ilvl w:val="0"/>
          <w:numId w:val="11"/>
        </w:numPr>
        <w:jc w:val="both"/>
        <w:rPr>
          <w:rFonts w:ascii="New Baskerville" w:hAnsi="New Baskerville"/>
          <w:sz w:val="21"/>
          <w:szCs w:val="21"/>
          <w:lang w:val="en-GB"/>
        </w:rPr>
      </w:pPr>
      <w:r w:rsidRPr="001F7823">
        <w:rPr>
          <w:rFonts w:ascii="New Baskerville" w:hAnsi="New Baskerville"/>
          <w:sz w:val="21"/>
          <w:szCs w:val="21"/>
          <w:lang w:val="en-GB"/>
        </w:rPr>
        <w:t xml:space="preserve">public law entity, the parties formalize the corresponding agreement (annex) which together with this agreement constitutes, as provided in Article 46.2.a) of the RGPD and in the Directives 2/2020 of the European Data Protection Committee, the legally binding and enforceable instrument between public authorities or bodies. </w:t>
      </w:r>
    </w:p>
    <w:p w14:paraId="06C698BF" w14:textId="009E2DDA" w:rsidR="004D7D87" w:rsidRPr="001F7823" w:rsidRDefault="001341A3" w:rsidP="001341A3">
      <w:pPr>
        <w:pStyle w:val="Prrafodelista"/>
        <w:numPr>
          <w:ilvl w:val="0"/>
          <w:numId w:val="11"/>
        </w:numPr>
        <w:jc w:val="both"/>
        <w:rPr>
          <w:rFonts w:ascii="New Baskerville" w:hAnsi="New Baskerville"/>
          <w:sz w:val="21"/>
          <w:szCs w:val="21"/>
          <w:lang w:val="en-GB"/>
        </w:rPr>
      </w:pPr>
      <w:r w:rsidRPr="001F7823">
        <w:rPr>
          <w:rFonts w:ascii="New Baskerville" w:hAnsi="New Baskerville"/>
          <w:sz w:val="21"/>
          <w:szCs w:val="21"/>
          <w:lang w:val="en-GB"/>
        </w:rPr>
        <w:t>entity under private law, the parties formalize the corresponding agreement (annex) drawn up, as provided for in Article 46.2.c) of the GDPR, in accordance with the standard clauses approved by the European Commission by Implementing Decision (EU) 2021/914 of 4 June 2021.</w:t>
      </w:r>
    </w:p>
    <w:p w14:paraId="46663D33" w14:textId="77777777" w:rsidR="001341A3" w:rsidRPr="001F7823" w:rsidRDefault="001341A3" w:rsidP="001341A3">
      <w:pPr>
        <w:jc w:val="both"/>
        <w:rPr>
          <w:rFonts w:ascii="New Baskerville" w:hAnsi="New Baskerville"/>
          <w:sz w:val="21"/>
          <w:szCs w:val="21"/>
          <w:lang w:val="en-GB"/>
        </w:rPr>
      </w:pPr>
      <w:r w:rsidRPr="001F7823">
        <w:rPr>
          <w:rFonts w:ascii="New Baskerville" w:hAnsi="New Baskerville"/>
          <w:sz w:val="21"/>
          <w:szCs w:val="21"/>
          <w:lang w:val="en-GB"/>
        </w:rPr>
        <w:t>Notwithstanding the above, the personal data contained in this agreement relating to the signatories shall and/or may be subject to those actions arising from the application and compliance with the regulations on transparency and access to public information applicable to the Universidade de Vigo and, where appropriate, to the other party.</w:t>
      </w:r>
    </w:p>
    <w:p w14:paraId="5596C07C" w14:textId="7B601D4A"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Fourteen. Publicity </w:t>
      </w:r>
    </w:p>
    <w:p w14:paraId="13632599"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In accordance with the provisions of the regulations on transparency, access to public information and good governance, this agreement will be published on the University of Vigo website.  </w:t>
      </w:r>
    </w:p>
    <w:p w14:paraId="5DA61C2C"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lastRenderedPageBreak/>
        <w:t xml:space="preserve">When it is not possible to publish it in its entirety for reasons of confidentiality, indication will be given of its purpose, the signatories, duration, economic obligations or those of any kind, and any modifications. </w:t>
      </w:r>
    </w:p>
    <w:p w14:paraId="4893A9A9" w14:textId="77777777" w:rsidR="008B188B" w:rsidRPr="008B188B" w:rsidRDefault="008B188B" w:rsidP="008B188B">
      <w:pPr>
        <w:rPr>
          <w:rFonts w:ascii="New Baskerville" w:hAnsi="New Baskerville"/>
          <w:b/>
          <w:bCs/>
          <w:sz w:val="21"/>
          <w:szCs w:val="21"/>
          <w:lang w:val="en-GB"/>
        </w:rPr>
      </w:pPr>
      <w:r w:rsidRPr="008B188B">
        <w:rPr>
          <w:rFonts w:ascii="New Baskerville" w:hAnsi="New Baskerville"/>
          <w:b/>
          <w:bCs/>
          <w:sz w:val="21"/>
          <w:szCs w:val="21"/>
          <w:lang w:val="en-GB"/>
        </w:rPr>
        <w:t xml:space="preserve">Fifteen.  Nature and jurisdiction </w:t>
      </w:r>
    </w:p>
    <w:p w14:paraId="63E0A4E4"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Litigious issues arising regarding the interpretation, modification, resolution and effects of this agreement shall be resolved, in the first instance, by the Vice-Chancellor's Office responsible for academic organisation of subjects with final year projects. Any conflicts that may arise on both sides, and which cannot be resolved internally, shall be subject to resolution by the contentious-administrative jurisdiction law, given the administrative nature of this agreement. </w:t>
      </w:r>
    </w:p>
    <w:p w14:paraId="3C229944"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This agreement, of a legal-administrative nature, is signed in accordance with Law 40/2015, of 1 October, on the Public Sector Legal Regime. </w:t>
      </w:r>
    </w:p>
    <w:p w14:paraId="165EA8C3"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Any disputes that may arise regarding the interpretation, modification, execution, termination and effects that may derive from this agreement shall be resolved amicably between the parties within the committee foreseen in </w:t>
      </w:r>
      <w:proofErr w:type="gramStart"/>
      <w:r w:rsidRPr="008B188B">
        <w:rPr>
          <w:rFonts w:ascii="New Baskerville" w:hAnsi="New Baskerville"/>
          <w:sz w:val="21"/>
          <w:szCs w:val="21"/>
          <w:lang w:val="en-GB"/>
        </w:rPr>
        <w:t>stipulation  for</w:t>
      </w:r>
      <w:proofErr w:type="gramEnd"/>
      <w:r w:rsidRPr="008B188B">
        <w:rPr>
          <w:rFonts w:ascii="New Baskerville" w:hAnsi="New Baskerville"/>
          <w:sz w:val="21"/>
          <w:szCs w:val="21"/>
          <w:lang w:val="en-GB"/>
        </w:rPr>
        <w:t xml:space="preserve"> these cases</w:t>
      </w:r>
    </w:p>
    <w:p w14:paraId="487CF943" w14:textId="77777777" w:rsidR="008B188B" w:rsidRPr="008B188B" w:rsidRDefault="008B188B" w:rsidP="0035767D">
      <w:pPr>
        <w:jc w:val="both"/>
        <w:rPr>
          <w:rFonts w:ascii="New Baskerville" w:hAnsi="New Baskerville"/>
          <w:sz w:val="21"/>
          <w:szCs w:val="21"/>
          <w:lang w:val="en-GB"/>
        </w:rPr>
      </w:pPr>
      <w:r w:rsidRPr="008B188B">
        <w:rPr>
          <w:rFonts w:ascii="New Baskerville" w:hAnsi="New Baskerville"/>
          <w:sz w:val="21"/>
          <w:szCs w:val="21"/>
          <w:lang w:val="en-GB"/>
        </w:rPr>
        <w:t xml:space="preserve">As this agreement is of an administrative nature, the contentious-administrative jurisdiction will be competent to resolve any litigious issues that may arise between the parties, in accordance with the provisions of articles 1 and 2 of Law 29/1998, of 13 July, regulating this jurisdiction. </w:t>
      </w:r>
    </w:p>
    <w:tbl>
      <w:tblPr>
        <w:tblStyle w:val="Tablaconcuadrcula"/>
        <w:tblpPr w:leftFromText="141" w:rightFromText="141" w:vertAnchor="page" w:horzAnchor="margin" w:tblpY="819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103"/>
      </w:tblGrid>
      <w:tr w:rsidR="0086258B" w:rsidRPr="001F7823" w14:paraId="12AD3C70" w14:textId="77777777" w:rsidTr="0086258B">
        <w:tc>
          <w:tcPr>
            <w:tcW w:w="3969" w:type="dxa"/>
          </w:tcPr>
          <w:p w14:paraId="40D63DFB" w14:textId="77777777" w:rsidR="0086258B" w:rsidRPr="001F7823" w:rsidRDefault="0086258B" w:rsidP="0086258B">
            <w:pPr>
              <w:widowControl/>
              <w:autoSpaceDE/>
              <w:autoSpaceDN/>
              <w:spacing w:after="160" w:line="259" w:lineRule="auto"/>
              <w:rPr>
                <w:rFonts w:ascii="New Baskerville" w:hAnsi="New Baskerville"/>
                <w:kern w:val="2"/>
                <w:sz w:val="21"/>
                <w:szCs w:val="21"/>
                <w:lang w:val="en-GB"/>
                <w14:ligatures w14:val="standardContextual"/>
              </w:rPr>
            </w:pPr>
            <w:bookmarkStart w:id="1" w:name="_Hlk130461560"/>
            <w:r w:rsidRPr="001F7823">
              <w:rPr>
                <w:rFonts w:ascii="New Baskerville" w:hAnsi="New Baskerville"/>
                <w:kern w:val="2"/>
                <w:sz w:val="21"/>
                <w:szCs w:val="21"/>
                <w:lang w:val="en-GB"/>
                <w14:ligatures w14:val="standardContextual"/>
              </w:rPr>
              <w:t>The Chancellor of the University of Vigo</w:t>
            </w:r>
          </w:p>
        </w:tc>
        <w:tc>
          <w:tcPr>
            <w:tcW w:w="5103" w:type="dxa"/>
          </w:tcPr>
          <w:p w14:paraId="7614AFE8" w14:textId="77777777" w:rsidR="0086258B" w:rsidRPr="001F7823" w:rsidRDefault="0086258B" w:rsidP="0086258B">
            <w:pPr>
              <w:widowControl/>
              <w:autoSpaceDE/>
              <w:autoSpaceDN/>
              <w:spacing w:after="160" w:line="259" w:lineRule="auto"/>
              <w:rPr>
                <w:rFonts w:ascii="New Baskerville" w:hAnsi="New Baskerville"/>
                <w:kern w:val="2"/>
                <w:sz w:val="21"/>
                <w:szCs w:val="21"/>
                <w:lang w:val="en-GB"/>
                <w14:ligatures w14:val="standardContextual"/>
              </w:rPr>
            </w:pPr>
            <w:r w:rsidRPr="001F7823">
              <w:rPr>
                <w:rFonts w:ascii="New Baskerville" w:hAnsi="New Baskerville"/>
                <w:kern w:val="2"/>
                <w:sz w:val="21"/>
                <w:szCs w:val="21"/>
                <w:lang w:val="en-GB"/>
                <w14:ligatures w14:val="standardContextual"/>
              </w:rPr>
              <w:t>______________________________________</w:t>
            </w:r>
            <w:r w:rsidRPr="001F7823">
              <w:rPr>
                <w:rFonts w:ascii="New Baskerville" w:hAnsi="New Baskerville"/>
                <w:kern w:val="2"/>
                <w:sz w:val="21"/>
                <w:szCs w:val="21"/>
                <w:lang w:val="en-GB"/>
                <w14:ligatures w14:val="standardContextual"/>
              </w:rPr>
              <w:br/>
            </w:r>
            <w:r w:rsidRPr="001F7823">
              <w:rPr>
                <w:rFonts w:ascii="New Baskerville" w:hAnsi="New Baskerville"/>
                <w:i/>
                <w:iCs/>
                <w:kern w:val="2"/>
                <w:sz w:val="21"/>
                <w:szCs w:val="21"/>
                <w:highlight w:val="lightGray"/>
                <w:lang w:val="en-GB"/>
                <w14:ligatures w14:val="standardContextual"/>
              </w:rPr>
              <w:t>(Position of the representative of the company/institution</w:t>
            </w:r>
            <w:r w:rsidRPr="001F7823">
              <w:rPr>
                <w:rFonts w:ascii="New Baskerville" w:hAnsi="New Baskerville"/>
                <w:i/>
                <w:iCs/>
                <w:kern w:val="2"/>
                <w:sz w:val="21"/>
                <w:szCs w:val="21"/>
                <w:lang w:val="en-GB"/>
                <w14:ligatures w14:val="standardContextual"/>
              </w:rPr>
              <w:t>)</w:t>
            </w:r>
          </w:p>
        </w:tc>
      </w:tr>
      <w:tr w:rsidR="0086258B" w:rsidRPr="001F7823" w14:paraId="19548B22" w14:textId="77777777" w:rsidTr="0086258B">
        <w:tc>
          <w:tcPr>
            <w:tcW w:w="3969" w:type="dxa"/>
          </w:tcPr>
          <w:p w14:paraId="1AF4508F" w14:textId="77777777" w:rsidR="0086258B" w:rsidRPr="001F7823" w:rsidRDefault="0086258B" w:rsidP="0086258B">
            <w:pPr>
              <w:widowControl/>
              <w:autoSpaceDE/>
              <w:autoSpaceDN/>
              <w:spacing w:after="160" w:line="259" w:lineRule="auto"/>
              <w:rPr>
                <w:rFonts w:ascii="New Baskerville" w:hAnsi="New Baskerville"/>
                <w:kern w:val="2"/>
                <w:sz w:val="21"/>
                <w:szCs w:val="21"/>
                <w:lang w:val="en-GB"/>
                <w14:ligatures w14:val="standardContextual"/>
              </w:rPr>
            </w:pPr>
          </w:p>
          <w:p w14:paraId="29C33672" w14:textId="77777777" w:rsidR="0086258B" w:rsidRPr="001F7823" w:rsidRDefault="0086258B" w:rsidP="0086258B">
            <w:pPr>
              <w:widowControl/>
              <w:autoSpaceDE/>
              <w:autoSpaceDN/>
              <w:spacing w:after="160" w:line="259" w:lineRule="auto"/>
              <w:rPr>
                <w:rFonts w:ascii="New Baskerville" w:hAnsi="New Baskerville"/>
                <w:kern w:val="2"/>
                <w:sz w:val="21"/>
                <w:szCs w:val="21"/>
                <w:lang w:val="en-GB"/>
                <w14:ligatures w14:val="standardContextual"/>
              </w:rPr>
            </w:pPr>
          </w:p>
        </w:tc>
        <w:tc>
          <w:tcPr>
            <w:tcW w:w="5103" w:type="dxa"/>
          </w:tcPr>
          <w:p w14:paraId="410C8B9B" w14:textId="77777777" w:rsidR="0086258B" w:rsidRPr="001F7823" w:rsidRDefault="0086258B" w:rsidP="0086258B">
            <w:pPr>
              <w:widowControl/>
              <w:autoSpaceDE/>
              <w:autoSpaceDN/>
              <w:spacing w:after="160" w:line="259" w:lineRule="auto"/>
              <w:rPr>
                <w:rFonts w:ascii="New Baskerville" w:hAnsi="New Baskerville"/>
                <w:kern w:val="2"/>
                <w:sz w:val="21"/>
                <w:szCs w:val="21"/>
                <w:lang w:val="en-GB"/>
                <w14:ligatures w14:val="standardContextual"/>
              </w:rPr>
            </w:pPr>
          </w:p>
        </w:tc>
      </w:tr>
      <w:tr w:rsidR="0086258B" w:rsidRPr="001F7823" w14:paraId="173645A6" w14:textId="77777777" w:rsidTr="0086258B">
        <w:tc>
          <w:tcPr>
            <w:tcW w:w="3969" w:type="dxa"/>
          </w:tcPr>
          <w:p w14:paraId="5B6A5850" w14:textId="77777777" w:rsidR="0086258B" w:rsidRPr="001F7823" w:rsidRDefault="0086258B" w:rsidP="0086258B">
            <w:pPr>
              <w:widowControl/>
              <w:autoSpaceDE/>
              <w:autoSpaceDN/>
              <w:spacing w:after="160" w:line="259" w:lineRule="auto"/>
              <w:rPr>
                <w:rFonts w:ascii="New Baskerville" w:hAnsi="New Baskerville"/>
                <w:kern w:val="2"/>
                <w:sz w:val="21"/>
                <w:szCs w:val="21"/>
                <w14:ligatures w14:val="standardContextual"/>
              </w:rPr>
            </w:pPr>
            <w:r w:rsidRPr="001F7823">
              <w:rPr>
                <w:rFonts w:ascii="New Baskerville" w:hAnsi="New Baskerville"/>
                <w:kern w:val="2"/>
                <w:sz w:val="21"/>
                <w:szCs w:val="21"/>
                <w14:ligatures w14:val="standardContextual"/>
              </w:rPr>
              <w:t>Manuel Joaquín Reigosa Roger</w:t>
            </w:r>
          </w:p>
        </w:tc>
        <w:tc>
          <w:tcPr>
            <w:tcW w:w="5103" w:type="dxa"/>
          </w:tcPr>
          <w:p w14:paraId="19CAE169" w14:textId="77777777" w:rsidR="0086258B" w:rsidRPr="001F7823" w:rsidRDefault="0086258B" w:rsidP="0086258B">
            <w:pPr>
              <w:widowControl/>
              <w:autoSpaceDE/>
              <w:autoSpaceDN/>
              <w:spacing w:after="160" w:line="259" w:lineRule="auto"/>
              <w:rPr>
                <w:rFonts w:ascii="New Baskerville" w:hAnsi="New Baskerville"/>
                <w:kern w:val="2"/>
                <w:sz w:val="21"/>
                <w:szCs w:val="21"/>
                <w:lang w:val="en-GB"/>
                <w14:ligatures w14:val="standardContextual"/>
              </w:rPr>
            </w:pPr>
            <w:r w:rsidRPr="001F7823">
              <w:rPr>
                <w:rFonts w:ascii="New Baskerville" w:hAnsi="New Baskerville"/>
                <w:kern w:val="2"/>
                <w:sz w:val="21"/>
                <w:szCs w:val="21"/>
                <w:lang w:val="en-GB"/>
                <w14:ligatures w14:val="standardContextual"/>
              </w:rPr>
              <w:t>_______________________________________</w:t>
            </w:r>
            <w:r w:rsidRPr="001F7823">
              <w:rPr>
                <w:rFonts w:ascii="New Baskerville" w:hAnsi="New Baskerville"/>
                <w:kern w:val="2"/>
                <w:sz w:val="21"/>
                <w:szCs w:val="21"/>
                <w:lang w:val="en-GB"/>
                <w14:ligatures w14:val="standardContextual"/>
              </w:rPr>
              <w:br/>
            </w:r>
            <w:r w:rsidRPr="001F7823">
              <w:rPr>
                <w:rFonts w:ascii="New Baskerville" w:hAnsi="New Baskerville"/>
                <w:i/>
                <w:iCs/>
                <w:kern w:val="2"/>
                <w:sz w:val="21"/>
                <w:szCs w:val="21"/>
                <w:lang w:val="en-GB"/>
                <w14:ligatures w14:val="standardContextual"/>
              </w:rPr>
              <w:t>(</w:t>
            </w:r>
            <w:r w:rsidRPr="001F7823">
              <w:rPr>
                <w:rFonts w:ascii="New Baskerville" w:hAnsi="New Baskerville"/>
                <w:i/>
                <w:iCs/>
                <w:kern w:val="2"/>
                <w:sz w:val="21"/>
                <w:szCs w:val="21"/>
                <w:highlight w:val="lightGray"/>
                <w:lang w:val="en-GB"/>
                <w14:ligatures w14:val="standardContextual"/>
              </w:rPr>
              <w:t>Position of the representative of the company/institution</w:t>
            </w:r>
            <w:r w:rsidRPr="001F7823">
              <w:rPr>
                <w:rFonts w:ascii="New Baskerville" w:hAnsi="New Baskerville"/>
                <w:i/>
                <w:iCs/>
                <w:kern w:val="2"/>
                <w:sz w:val="21"/>
                <w:szCs w:val="21"/>
                <w:lang w:val="en-GB"/>
                <w14:ligatures w14:val="standardContextual"/>
              </w:rPr>
              <w:t>)</w:t>
            </w:r>
          </w:p>
        </w:tc>
      </w:tr>
    </w:tbl>
    <w:bookmarkEnd w:id="1"/>
    <w:p w14:paraId="0EC43E6E" w14:textId="000BF349" w:rsidR="0035767D" w:rsidRPr="001F7823" w:rsidRDefault="008B188B" w:rsidP="0086258B">
      <w:pPr>
        <w:jc w:val="both"/>
        <w:rPr>
          <w:rFonts w:ascii="New Baskerville" w:hAnsi="New Baskerville"/>
          <w:sz w:val="21"/>
          <w:szCs w:val="21"/>
          <w:lang w:val="en-GB"/>
        </w:rPr>
      </w:pPr>
      <w:r w:rsidRPr="008B188B">
        <w:rPr>
          <w:rFonts w:ascii="New Baskerville" w:hAnsi="New Baskerville"/>
          <w:sz w:val="21"/>
          <w:szCs w:val="21"/>
          <w:lang w:val="en-GB"/>
        </w:rPr>
        <w:t>In witness whereof, the parties hereto sign this agreement</w:t>
      </w:r>
      <w:r w:rsidR="0086258B">
        <w:rPr>
          <w:rFonts w:ascii="New Baskerville" w:hAnsi="New Baskerville"/>
          <w:sz w:val="21"/>
          <w:szCs w:val="21"/>
          <w:lang w:val="en-GB"/>
        </w:rPr>
        <w:t xml:space="preserve"> </w:t>
      </w:r>
      <w:proofErr w:type="spellStart"/>
      <w:r w:rsidR="0086258B" w:rsidRPr="0086258B">
        <w:rPr>
          <w:rFonts w:ascii="New Baskerville" w:hAnsi="New Baskerville"/>
          <w:sz w:val="21"/>
          <w:szCs w:val="21"/>
          <w:lang w:val="en-GB"/>
        </w:rPr>
        <w:t>on</w:t>
      </w:r>
      <w:proofErr w:type="spellEnd"/>
      <w:r w:rsidR="0086258B" w:rsidRPr="0086258B">
        <w:rPr>
          <w:rFonts w:ascii="New Baskerville" w:hAnsi="New Baskerville"/>
          <w:sz w:val="21"/>
          <w:szCs w:val="21"/>
          <w:lang w:val="en-GB"/>
        </w:rPr>
        <w:t xml:space="preserve"> the date of the latest electronic signature</w:t>
      </w:r>
      <w:r w:rsidR="0086258B">
        <w:rPr>
          <w:rFonts w:ascii="New Baskerville" w:hAnsi="New Baskerville"/>
          <w:sz w:val="21"/>
          <w:szCs w:val="21"/>
          <w:lang w:val="en-GB"/>
        </w:rPr>
        <w:t>.</w:t>
      </w:r>
    </w:p>
    <w:sectPr w:rsidR="0035767D" w:rsidRPr="001F7823" w:rsidSect="00321A8D">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C026" w14:textId="77777777" w:rsidR="00C23704" w:rsidRDefault="00C23704" w:rsidP="00C23704">
      <w:pPr>
        <w:spacing w:after="0" w:line="240" w:lineRule="auto"/>
      </w:pPr>
      <w:r>
        <w:separator/>
      </w:r>
    </w:p>
  </w:endnote>
  <w:endnote w:type="continuationSeparator" w:id="0">
    <w:p w14:paraId="507FA8A0" w14:textId="77777777" w:rsidR="00C23704" w:rsidRDefault="00C23704" w:rsidP="00C2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ew Baskerville">
    <w:altName w:val="Cambria"/>
    <w:charset w:val="00"/>
    <w:family w:val="roman"/>
    <w:pitch w:val="variable"/>
    <w:sig w:usb0="00000003" w:usb1="00000000" w:usb2="00000000" w:usb3="00000000" w:csb0="00000001" w:csb1="00000000"/>
  </w:font>
  <w:font w:name="ITC New Baskerville Std">
    <w:altName w:val="Cambria"/>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A198" w14:textId="77777777" w:rsidR="0086258B" w:rsidRDefault="00E67CDC">
    <w:pPr>
      <w:spacing w:after="0"/>
      <w:ind w:right="4"/>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fldSimple w:instr=" NUMPAGES   \* MERGEFORMAT ">
      <w:r>
        <w:rPr>
          <w:rFonts w:ascii="Arial" w:eastAsia="Arial" w:hAnsi="Arial" w:cs="Arial"/>
          <w:sz w:val="18"/>
        </w:rPr>
        <w:t>5</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A547" w14:textId="77777777" w:rsidR="0086258B" w:rsidRDefault="00E67CDC">
    <w:pPr>
      <w:spacing w:after="0"/>
      <w:ind w:right="4"/>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fldSimple w:instr=" NUMPAGES   \* MERGEFORMAT ">
      <w:r>
        <w:rPr>
          <w:rFonts w:ascii="Arial" w:eastAsia="Arial" w:hAnsi="Arial" w:cs="Arial"/>
          <w:sz w:val="18"/>
        </w:rPr>
        <w:t>5</w:t>
      </w:r>
    </w:fldSimple>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DDFA" w14:textId="77777777" w:rsidR="0086258B" w:rsidRDefault="00E67CDC">
    <w:pPr>
      <w:spacing w:after="0"/>
      <w:ind w:right="4"/>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fldSimple w:instr=" NUMPAGES   \* MERGEFORMAT ">
      <w:r>
        <w:rPr>
          <w:rFonts w:ascii="Arial" w:eastAsia="Arial" w:hAnsi="Arial" w:cs="Arial"/>
          <w:sz w:val="18"/>
        </w:rPr>
        <w:t>5</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9BEC" w14:textId="77777777" w:rsidR="00C23704" w:rsidRDefault="00C23704" w:rsidP="00C23704">
      <w:pPr>
        <w:spacing w:after="0" w:line="240" w:lineRule="auto"/>
      </w:pPr>
      <w:r>
        <w:separator/>
      </w:r>
    </w:p>
  </w:footnote>
  <w:footnote w:type="continuationSeparator" w:id="0">
    <w:p w14:paraId="0DC32363" w14:textId="77777777" w:rsidR="00C23704" w:rsidRDefault="00C23704" w:rsidP="00C23704">
      <w:pPr>
        <w:spacing w:after="0" w:line="240" w:lineRule="auto"/>
      </w:pPr>
      <w:r>
        <w:continuationSeparator/>
      </w:r>
    </w:p>
  </w:footnote>
  <w:footnote w:id="1">
    <w:p w14:paraId="7EB0AB05" w14:textId="77777777" w:rsidR="00C23704" w:rsidRPr="00657EB3" w:rsidRDefault="00C23704" w:rsidP="00C23704">
      <w:pPr>
        <w:pStyle w:val="Textonotapie"/>
        <w:rPr>
          <w:lang w:val="en-US"/>
        </w:rPr>
      </w:pPr>
      <w:r>
        <w:rPr>
          <w:rStyle w:val="Refdenotaalpie"/>
        </w:rPr>
        <w:footnoteRef/>
      </w:r>
      <w:r>
        <w:t xml:space="preserve"> </w:t>
      </w:r>
      <w:r w:rsidRPr="00657EB3">
        <w:rPr>
          <w:rFonts w:ascii="ITC New Baskerville Std" w:eastAsia="Cambria" w:hAnsi="ITC New Baskerville Std" w:cs="Cambria Math"/>
          <w:lang w:val="en-US" w:eastAsia="ar-SA"/>
        </w:rPr>
        <w:t xml:space="preserve">The countries stated as adequate by the European </w:t>
      </w:r>
      <w:proofErr w:type="spellStart"/>
      <w:r w:rsidRPr="00657EB3">
        <w:rPr>
          <w:rFonts w:ascii="ITC New Baskerville Std" w:eastAsia="Cambria" w:hAnsi="ITC New Baskerville Std" w:cs="Cambria Math"/>
          <w:lang w:val="en-US" w:eastAsia="ar-SA"/>
        </w:rPr>
        <w:t>Commision</w:t>
      </w:r>
      <w:proofErr w:type="spellEnd"/>
      <w:r w:rsidRPr="00657EB3">
        <w:rPr>
          <w:rFonts w:ascii="ITC New Baskerville Std" w:eastAsia="Cambria" w:hAnsi="ITC New Baskerville Std" w:cs="Cambria Math"/>
          <w:lang w:val="en-US" w:eastAsia="ar-SA"/>
        </w:rPr>
        <w:t xml:space="preserve"> so far are the following: Switzerland, Canada, Arg</w:t>
      </w:r>
      <w:r>
        <w:rPr>
          <w:rFonts w:ascii="ITC New Baskerville Std" w:eastAsia="Cambria" w:hAnsi="ITC New Baskerville Std" w:cs="Cambria Math"/>
          <w:lang w:val="en-US" w:eastAsia="ar-SA"/>
        </w:rPr>
        <w:t>entina, Guernsey, Isle of Man, J</w:t>
      </w:r>
      <w:r w:rsidRPr="00657EB3">
        <w:rPr>
          <w:rFonts w:ascii="ITC New Baskerville Std" w:eastAsia="Cambria" w:hAnsi="ITC New Baskerville Std" w:cs="Cambria Math"/>
          <w:lang w:val="en-US" w:eastAsia="ar-SA"/>
        </w:rPr>
        <w:t>ersey, Faroe Islands, Andorra, Isr</w:t>
      </w:r>
      <w:r>
        <w:rPr>
          <w:rFonts w:ascii="ITC New Baskerville Std" w:eastAsia="Cambria" w:hAnsi="ITC New Baskerville Std" w:cs="Cambria Math"/>
          <w:lang w:val="en-US" w:eastAsia="ar-SA"/>
        </w:rPr>
        <w:t xml:space="preserve">ael, </w:t>
      </w:r>
      <w:proofErr w:type="gramStart"/>
      <w:r>
        <w:rPr>
          <w:rFonts w:ascii="ITC New Baskerville Std" w:eastAsia="Cambria" w:hAnsi="ITC New Baskerville Std" w:cs="Cambria Math"/>
          <w:lang w:val="en-US" w:eastAsia="ar-SA"/>
        </w:rPr>
        <w:t>Uruguay</w:t>
      </w:r>
      <w:proofErr w:type="gramEnd"/>
      <w:r>
        <w:rPr>
          <w:rFonts w:ascii="ITC New Baskerville Std" w:eastAsia="Cambria" w:hAnsi="ITC New Baskerville Std" w:cs="Cambria Math"/>
          <w:lang w:val="en-US" w:eastAsia="ar-SA"/>
        </w:rPr>
        <w:t xml:space="preserve"> and 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E51" w14:textId="77777777" w:rsidR="0086258B" w:rsidRPr="008D12DB" w:rsidRDefault="00E67CDC">
    <w:pPr>
      <w:tabs>
        <w:tab w:val="right" w:pos="9893"/>
      </w:tabs>
      <w:spacing w:after="0"/>
      <w:rPr>
        <w:lang w:val="en-GB"/>
      </w:rPr>
    </w:pPr>
    <w:r>
      <w:rPr>
        <w:noProof/>
      </w:rPr>
      <w:drawing>
        <wp:anchor distT="0" distB="0" distL="114300" distR="114300" simplePos="0" relativeHeight="251659264" behindDoc="0" locked="0" layoutInCell="1" allowOverlap="0" wp14:anchorId="79BF33D4" wp14:editId="3734531D">
          <wp:simplePos x="0" y="0"/>
          <wp:positionH relativeFrom="page">
            <wp:posOffset>633096</wp:posOffset>
          </wp:positionH>
          <wp:positionV relativeFrom="page">
            <wp:posOffset>352426</wp:posOffset>
          </wp:positionV>
          <wp:extent cx="2472690" cy="436880"/>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72690" cy="436880"/>
                  </a:xfrm>
                  <a:prstGeom prst="rect">
                    <a:avLst/>
                  </a:prstGeom>
                </pic:spPr>
              </pic:pic>
            </a:graphicData>
          </a:graphic>
        </wp:anchor>
      </w:drawing>
    </w:r>
    <w:r w:rsidRPr="008D12DB">
      <w:rPr>
        <w:rFonts w:ascii="Times New Roman" w:eastAsia="Times New Roman" w:hAnsi="Times New Roman" w:cs="Times New Roman"/>
        <w:color w:val="0070C0"/>
        <w:u w:val="single" w:color="0070C0"/>
        <w:lang w:val="en-GB"/>
      </w:rPr>
      <w:tab/>
      <w:t>LOGO OF THE COMPANY OR INSTITUTION</w:t>
    </w:r>
    <w:r w:rsidRPr="008D12DB">
      <w:rPr>
        <w:rFonts w:ascii="Times New Roman" w:eastAsia="Times New Roman" w:hAnsi="Times New Roman" w:cs="Times New Roman"/>
        <w:color w:val="0070C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534C" w14:textId="77777777" w:rsidR="0086258B" w:rsidRPr="008D12DB" w:rsidRDefault="00E67CDC">
    <w:pPr>
      <w:tabs>
        <w:tab w:val="right" w:pos="9893"/>
      </w:tabs>
      <w:spacing w:after="0"/>
      <w:rPr>
        <w:lang w:val="en-GB"/>
      </w:rPr>
    </w:pPr>
    <w:r>
      <w:rPr>
        <w:noProof/>
      </w:rPr>
      <w:drawing>
        <wp:anchor distT="0" distB="0" distL="114300" distR="114300" simplePos="0" relativeHeight="251660288" behindDoc="0" locked="0" layoutInCell="1" allowOverlap="0" wp14:anchorId="6D654631" wp14:editId="6142AAA7">
          <wp:simplePos x="0" y="0"/>
          <wp:positionH relativeFrom="page">
            <wp:posOffset>633096</wp:posOffset>
          </wp:positionH>
          <wp:positionV relativeFrom="page">
            <wp:posOffset>352426</wp:posOffset>
          </wp:positionV>
          <wp:extent cx="2472690" cy="436880"/>
          <wp:effectExtent l="0" t="0" r="0" b="0"/>
          <wp:wrapSquare wrapText="bothSides"/>
          <wp:docPr id="14" name="Imagen 1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72690" cy="436880"/>
                  </a:xfrm>
                  <a:prstGeom prst="rect">
                    <a:avLst/>
                  </a:prstGeom>
                </pic:spPr>
              </pic:pic>
            </a:graphicData>
          </a:graphic>
        </wp:anchor>
      </w:drawing>
    </w:r>
    <w:r w:rsidRPr="008D12DB">
      <w:rPr>
        <w:rFonts w:ascii="Times New Roman" w:eastAsia="Times New Roman" w:hAnsi="Times New Roman" w:cs="Times New Roman"/>
        <w:color w:val="0070C0"/>
        <w:u w:val="single" w:color="0070C0"/>
        <w:lang w:val="en-GB"/>
      </w:rPr>
      <w:tab/>
      <w:t>LOGO OF THE COMPANY OR INSTITUTION</w:t>
    </w:r>
    <w:r w:rsidRPr="008D12DB">
      <w:rPr>
        <w:rFonts w:ascii="Times New Roman" w:eastAsia="Times New Roman" w:hAnsi="Times New Roman" w:cs="Times New Roman"/>
        <w:color w:val="0070C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C5E1" w14:textId="77777777" w:rsidR="0086258B" w:rsidRPr="008D12DB" w:rsidRDefault="00E67CDC">
    <w:pPr>
      <w:tabs>
        <w:tab w:val="right" w:pos="9893"/>
      </w:tabs>
      <w:spacing w:after="0"/>
      <w:rPr>
        <w:lang w:val="en-GB"/>
      </w:rPr>
    </w:pPr>
    <w:r>
      <w:rPr>
        <w:noProof/>
      </w:rPr>
      <w:drawing>
        <wp:anchor distT="0" distB="0" distL="114300" distR="114300" simplePos="0" relativeHeight="251661312" behindDoc="0" locked="0" layoutInCell="1" allowOverlap="0" wp14:anchorId="5599B563" wp14:editId="04D08650">
          <wp:simplePos x="0" y="0"/>
          <wp:positionH relativeFrom="page">
            <wp:posOffset>633096</wp:posOffset>
          </wp:positionH>
          <wp:positionV relativeFrom="page">
            <wp:posOffset>352426</wp:posOffset>
          </wp:positionV>
          <wp:extent cx="2472690" cy="436880"/>
          <wp:effectExtent l="0" t="0" r="0" b="0"/>
          <wp:wrapSquare wrapText="bothSides"/>
          <wp:docPr id="15" name="Imagen 1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72690" cy="436880"/>
                  </a:xfrm>
                  <a:prstGeom prst="rect">
                    <a:avLst/>
                  </a:prstGeom>
                </pic:spPr>
              </pic:pic>
            </a:graphicData>
          </a:graphic>
        </wp:anchor>
      </w:drawing>
    </w:r>
    <w:r w:rsidRPr="008D12DB">
      <w:rPr>
        <w:rFonts w:ascii="Times New Roman" w:eastAsia="Times New Roman" w:hAnsi="Times New Roman" w:cs="Times New Roman"/>
        <w:color w:val="0070C0"/>
        <w:u w:val="single" w:color="0070C0"/>
        <w:lang w:val="en-GB"/>
      </w:rPr>
      <w:tab/>
      <w:t>LOGO OF THE COMPANY OR INSTITUTION</w:t>
    </w:r>
    <w:r w:rsidRPr="008D12DB">
      <w:rPr>
        <w:rFonts w:ascii="Times New Roman" w:eastAsia="Times New Roman" w:hAnsi="Times New Roman" w:cs="Times New Roman"/>
        <w:color w:val="0070C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87F"/>
    <w:multiLevelType w:val="hybridMultilevel"/>
    <w:tmpl w:val="F1E469D8"/>
    <w:lvl w:ilvl="0" w:tplc="0B809DC6">
      <w:start w:val="1"/>
      <w:numFmt w:val="decimal"/>
      <w:lvlText w:val="%1."/>
      <w:lvlJc w:val="left"/>
      <w:pPr>
        <w:ind w:left="28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4E185E38">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09660DBC">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4A74B430">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3622302A">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467A1C1C">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E670E616">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74B0FB2A">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354292CA">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032C29"/>
    <w:multiLevelType w:val="hybridMultilevel"/>
    <w:tmpl w:val="1CA8D416"/>
    <w:lvl w:ilvl="0" w:tplc="0C0A0001">
      <w:start w:val="1"/>
      <w:numFmt w:val="bullet"/>
      <w:lvlText w:val=""/>
      <w:lvlJc w:val="left"/>
      <w:pPr>
        <w:ind w:left="36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2983DF3"/>
    <w:multiLevelType w:val="hybridMultilevel"/>
    <w:tmpl w:val="CB1A2AB4"/>
    <w:lvl w:ilvl="0" w:tplc="A46A29AE">
      <w:start w:val="1"/>
      <w:numFmt w:val="bullet"/>
      <w:lvlText w:val="-"/>
      <w:lvlJc w:val="left"/>
      <w:pPr>
        <w:ind w:left="86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68C2342E">
      <w:start w:val="1"/>
      <w:numFmt w:val="bullet"/>
      <w:lvlText w:val="o"/>
      <w:lvlJc w:val="left"/>
      <w:pPr>
        <w:ind w:left="144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1CCE8A00">
      <w:start w:val="1"/>
      <w:numFmt w:val="bullet"/>
      <w:lvlText w:val="▪"/>
      <w:lvlJc w:val="left"/>
      <w:pPr>
        <w:ind w:left="21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C172AA7A">
      <w:start w:val="1"/>
      <w:numFmt w:val="bullet"/>
      <w:lvlText w:val="•"/>
      <w:lvlJc w:val="left"/>
      <w:pPr>
        <w:ind w:left="288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9198FD6C">
      <w:start w:val="1"/>
      <w:numFmt w:val="bullet"/>
      <w:lvlText w:val="o"/>
      <w:lvlJc w:val="left"/>
      <w:pPr>
        <w:ind w:left="360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CD12AC68">
      <w:start w:val="1"/>
      <w:numFmt w:val="bullet"/>
      <w:lvlText w:val="▪"/>
      <w:lvlJc w:val="left"/>
      <w:pPr>
        <w:ind w:left="432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C17C4FE0">
      <w:start w:val="1"/>
      <w:numFmt w:val="bullet"/>
      <w:lvlText w:val="•"/>
      <w:lvlJc w:val="left"/>
      <w:pPr>
        <w:ind w:left="504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CA0CED3C">
      <w:start w:val="1"/>
      <w:numFmt w:val="bullet"/>
      <w:lvlText w:val="o"/>
      <w:lvlJc w:val="left"/>
      <w:pPr>
        <w:ind w:left="57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DE8E7704">
      <w:start w:val="1"/>
      <w:numFmt w:val="bullet"/>
      <w:lvlText w:val="▪"/>
      <w:lvlJc w:val="left"/>
      <w:pPr>
        <w:ind w:left="648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2249F0"/>
    <w:multiLevelType w:val="hybridMultilevel"/>
    <w:tmpl w:val="7BAE2F60"/>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 w15:restartNumberingAfterBreak="0">
    <w:nsid w:val="3B4037B9"/>
    <w:multiLevelType w:val="hybridMultilevel"/>
    <w:tmpl w:val="F42CCFE4"/>
    <w:lvl w:ilvl="0" w:tplc="E5A0C114">
      <w:start w:val="1"/>
      <w:numFmt w:val="bullet"/>
      <w:lvlText w:val="-"/>
      <w:lvlJc w:val="left"/>
      <w:pPr>
        <w:ind w:left="8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D696BD6A">
      <w:start w:val="1"/>
      <w:numFmt w:val="bullet"/>
      <w:lvlText w:val="o"/>
      <w:lvlJc w:val="left"/>
      <w:pPr>
        <w:ind w:left="14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3BF8EF58">
      <w:start w:val="1"/>
      <w:numFmt w:val="bullet"/>
      <w:lvlText w:val="▪"/>
      <w:lvlJc w:val="left"/>
      <w:pPr>
        <w:ind w:left="21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A0B4BDA2">
      <w:start w:val="1"/>
      <w:numFmt w:val="bullet"/>
      <w:lvlText w:val="•"/>
      <w:lvlJc w:val="left"/>
      <w:pPr>
        <w:ind w:left="28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9D705BA2">
      <w:start w:val="1"/>
      <w:numFmt w:val="bullet"/>
      <w:lvlText w:val="o"/>
      <w:lvlJc w:val="left"/>
      <w:pPr>
        <w:ind w:left="36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EA427134">
      <w:start w:val="1"/>
      <w:numFmt w:val="bullet"/>
      <w:lvlText w:val="▪"/>
      <w:lvlJc w:val="left"/>
      <w:pPr>
        <w:ind w:left="43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4DEEFE5E">
      <w:start w:val="1"/>
      <w:numFmt w:val="bullet"/>
      <w:lvlText w:val="•"/>
      <w:lvlJc w:val="left"/>
      <w:pPr>
        <w:ind w:left="50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047EC5B6">
      <w:start w:val="1"/>
      <w:numFmt w:val="bullet"/>
      <w:lvlText w:val="o"/>
      <w:lvlJc w:val="left"/>
      <w:pPr>
        <w:ind w:left="57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60447C9A">
      <w:start w:val="1"/>
      <w:numFmt w:val="bullet"/>
      <w:lvlText w:val="▪"/>
      <w:lvlJc w:val="left"/>
      <w:pPr>
        <w:ind w:left="64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51D09E8"/>
    <w:multiLevelType w:val="hybridMultilevel"/>
    <w:tmpl w:val="8ADC8C72"/>
    <w:lvl w:ilvl="0" w:tplc="B36E16BE">
      <w:start w:val="1"/>
      <w:numFmt w:val="bullet"/>
      <w:lvlText w:val="-"/>
      <w:lvlJc w:val="left"/>
      <w:pPr>
        <w:ind w:left="720" w:hanging="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D4C00"/>
    <w:multiLevelType w:val="hybridMultilevel"/>
    <w:tmpl w:val="C39E1580"/>
    <w:lvl w:ilvl="0" w:tplc="14A42AEA">
      <w:start w:val="1"/>
      <w:numFmt w:val="bullet"/>
      <w:lvlText w:val="-"/>
      <w:lvlJc w:val="left"/>
      <w:pPr>
        <w:ind w:left="8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B2783C32">
      <w:start w:val="1"/>
      <w:numFmt w:val="bullet"/>
      <w:lvlText w:val="o"/>
      <w:lvlJc w:val="left"/>
      <w:pPr>
        <w:ind w:left="14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C52257DA">
      <w:start w:val="1"/>
      <w:numFmt w:val="bullet"/>
      <w:lvlText w:val="▪"/>
      <w:lvlJc w:val="left"/>
      <w:pPr>
        <w:ind w:left="21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BFDAB99C">
      <w:start w:val="1"/>
      <w:numFmt w:val="bullet"/>
      <w:lvlText w:val="•"/>
      <w:lvlJc w:val="left"/>
      <w:pPr>
        <w:ind w:left="28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4BAEBD3A">
      <w:start w:val="1"/>
      <w:numFmt w:val="bullet"/>
      <w:lvlText w:val="o"/>
      <w:lvlJc w:val="left"/>
      <w:pPr>
        <w:ind w:left="36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073E59B8">
      <w:start w:val="1"/>
      <w:numFmt w:val="bullet"/>
      <w:lvlText w:val="▪"/>
      <w:lvlJc w:val="left"/>
      <w:pPr>
        <w:ind w:left="43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5E1CE434">
      <w:start w:val="1"/>
      <w:numFmt w:val="bullet"/>
      <w:lvlText w:val="•"/>
      <w:lvlJc w:val="left"/>
      <w:pPr>
        <w:ind w:left="50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57CE0BD0">
      <w:start w:val="1"/>
      <w:numFmt w:val="bullet"/>
      <w:lvlText w:val="o"/>
      <w:lvlJc w:val="left"/>
      <w:pPr>
        <w:ind w:left="57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A24A6E74">
      <w:start w:val="1"/>
      <w:numFmt w:val="bullet"/>
      <w:lvlText w:val="▪"/>
      <w:lvlJc w:val="left"/>
      <w:pPr>
        <w:ind w:left="64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3D109E4"/>
    <w:multiLevelType w:val="hybridMultilevel"/>
    <w:tmpl w:val="5DE6B834"/>
    <w:lvl w:ilvl="0" w:tplc="162E2CD0">
      <w:start w:val="1"/>
      <w:numFmt w:val="bullet"/>
      <w:lvlText w:val="-"/>
      <w:lvlJc w:val="left"/>
      <w:pPr>
        <w:ind w:left="86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7DB2A94C">
      <w:start w:val="1"/>
      <w:numFmt w:val="bullet"/>
      <w:lvlText w:val="o"/>
      <w:lvlJc w:val="left"/>
      <w:pPr>
        <w:ind w:left="144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45E60CF2">
      <w:start w:val="1"/>
      <w:numFmt w:val="bullet"/>
      <w:lvlText w:val="▪"/>
      <w:lvlJc w:val="left"/>
      <w:pPr>
        <w:ind w:left="21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EF82E18E">
      <w:start w:val="1"/>
      <w:numFmt w:val="bullet"/>
      <w:lvlText w:val="•"/>
      <w:lvlJc w:val="left"/>
      <w:pPr>
        <w:ind w:left="288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8E8657B6">
      <w:start w:val="1"/>
      <w:numFmt w:val="bullet"/>
      <w:lvlText w:val="o"/>
      <w:lvlJc w:val="left"/>
      <w:pPr>
        <w:ind w:left="360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799011CA">
      <w:start w:val="1"/>
      <w:numFmt w:val="bullet"/>
      <w:lvlText w:val="▪"/>
      <w:lvlJc w:val="left"/>
      <w:pPr>
        <w:ind w:left="432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F978FEA2">
      <w:start w:val="1"/>
      <w:numFmt w:val="bullet"/>
      <w:lvlText w:val="•"/>
      <w:lvlJc w:val="left"/>
      <w:pPr>
        <w:ind w:left="504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5046F3EA">
      <w:start w:val="1"/>
      <w:numFmt w:val="bullet"/>
      <w:lvlText w:val="o"/>
      <w:lvlJc w:val="left"/>
      <w:pPr>
        <w:ind w:left="57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00D44378">
      <w:start w:val="1"/>
      <w:numFmt w:val="bullet"/>
      <w:lvlText w:val="▪"/>
      <w:lvlJc w:val="left"/>
      <w:pPr>
        <w:ind w:left="648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7665923"/>
    <w:multiLevelType w:val="hybridMultilevel"/>
    <w:tmpl w:val="BD7A9620"/>
    <w:lvl w:ilvl="0" w:tplc="B36E16BE">
      <w:start w:val="1"/>
      <w:numFmt w:val="bullet"/>
      <w:lvlText w:val="-"/>
      <w:lvlJc w:val="left"/>
      <w:pPr>
        <w:ind w:left="862"/>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B636AEBC">
      <w:start w:val="1"/>
      <w:numFmt w:val="bullet"/>
      <w:lvlText w:val="o"/>
      <w:lvlJc w:val="left"/>
      <w:pPr>
        <w:ind w:left="14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D3AC0896">
      <w:start w:val="1"/>
      <w:numFmt w:val="bullet"/>
      <w:lvlText w:val="▪"/>
      <w:lvlJc w:val="left"/>
      <w:pPr>
        <w:ind w:left="21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E290637C">
      <w:start w:val="1"/>
      <w:numFmt w:val="bullet"/>
      <w:lvlText w:val="•"/>
      <w:lvlJc w:val="left"/>
      <w:pPr>
        <w:ind w:left="28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EADA570E">
      <w:start w:val="1"/>
      <w:numFmt w:val="bullet"/>
      <w:lvlText w:val="o"/>
      <w:lvlJc w:val="left"/>
      <w:pPr>
        <w:ind w:left="36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162A8CE6">
      <w:start w:val="1"/>
      <w:numFmt w:val="bullet"/>
      <w:lvlText w:val="▪"/>
      <w:lvlJc w:val="left"/>
      <w:pPr>
        <w:ind w:left="43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E438E566">
      <w:start w:val="1"/>
      <w:numFmt w:val="bullet"/>
      <w:lvlText w:val="•"/>
      <w:lvlJc w:val="left"/>
      <w:pPr>
        <w:ind w:left="50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1F545AF8">
      <w:start w:val="1"/>
      <w:numFmt w:val="bullet"/>
      <w:lvlText w:val="o"/>
      <w:lvlJc w:val="left"/>
      <w:pPr>
        <w:ind w:left="57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5F44425A">
      <w:start w:val="1"/>
      <w:numFmt w:val="bullet"/>
      <w:lvlText w:val="▪"/>
      <w:lvlJc w:val="left"/>
      <w:pPr>
        <w:ind w:left="64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C5477D9"/>
    <w:multiLevelType w:val="hybridMultilevel"/>
    <w:tmpl w:val="22267792"/>
    <w:lvl w:ilvl="0" w:tplc="B36E16BE">
      <w:start w:val="1"/>
      <w:numFmt w:val="bullet"/>
      <w:lvlText w:val="-"/>
      <w:lvlJc w:val="left"/>
      <w:pPr>
        <w:ind w:left="1582" w:hanging="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10" w15:restartNumberingAfterBreak="0">
    <w:nsid w:val="7F4C4D30"/>
    <w:multiLevelType w:val="hybridMultilevel"/>
    <w:tmpl w:val="F2100E56"/>
    <w:lvl w:ilvl="0" w:tplc="6B9E265C">
      <w:start w:val="1"/>
      <w:numFmt w:val="bullet"/>
      <w:lvlText w:val="-"/>
      <w:lvlJc w:val="left"/>
      <w:pPr>
        <w:ind w:left="86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0BDC5FEA">
      <w:start w:val="1"/>
      <w:numFmt w:val="bullet"/>
      <w:lvlText w:val="o"/>
      <w:lvlJc w:val="left"/>
      <w:pPr>
        <w:ind w:left="144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16EE0E9A">
      <w:start w:val="1"/>
      <w:numFmt w:val="bullet"/>
      <w:lvlText w:val="▪"/>
      <w:lvlJc w:val="left"/>
      <w:pPr>
        <w:ind w:left="216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9EF8FA24">
      <w:start w:val="1"/>
      <w:numFmt w:val="bullet"/>
      <w:lvlText w:val="•"/>
      <w:lvlJc w:val="left"/>
      <w:pPr>
        <w:ind w:left="288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BC0A53E4">
      <w:start w:val="1"/>
      <w:numFmt w:val="bullet"/>
      <w:lvlText w:val="o"/>
      <w:lvlJc w:val="left"/>
      <w:pPr>
        <w:ind w:left="360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D9E0F8BC">
      <w:start w:val="1"/>
      <w:numFmt w:val="bullet"/>
      <w:lvlText w:val="▪"/>
      <w:lvlJc w:val="left"/>
      <w:pPr>
        <w:ind w:left="432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D64472E2">
      <w:start w:val="1"/>
      <w:numFmt w:val="bullet"/>
      <w:lvlText w:val="•"/>
      <w:lvlJc w:val="left"/>
      <w:pPr>
        <w:ind w:left="504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D4B60BD4">
      <w:start w:val="1"/>
      <w:numFmt w:val="bullet"/>
      <w:lvlText w:val="o"/>
      <w:lvlJc w:val="left"/>
      <w:pPr>
        <w:ind w:left="576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35A8D316">
      <w:start w:val="1"/>
      <w:numFmt w:val="bullet"/>
      <w:lvlText w:val="▪"/>
      <w:lvlJc w:val="left"/>
      <w:pPr>
        <w:ind w:left="648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num w:numId="1" w16cid:durableId="238634971">
    <w:abstractNumId w:val="0"/>
  </w:num>
  <w:num w:numId="2" w16cid:durableId="1497922315">
    <w:abstractNumId w:val="8"/>
  </w:num>
  <w:num w:numId="3" w16cid:durableId="531042524">
    <w:abstractNumId w:val="2"/>
  </w:num>
  <w:num w:numId="4" w16cid:durableId="1851531665">
    <w:abstractNumId w:val="7"/>
  </w:num>
  <w:num w:numId="5" w16cid:durableId="1557085673">
    <w:abstractNumId w:val="6"/>
  </w:num>
  <w:num w:numId="6" w16cid:durableId="1642268402">
    <w:abstractNumId w:val="4"/>
  </w:num>
  <w:num w:numId="7" w16cid:durableId="883716912">
    <w:abstractNumId w:val="10"/>
  </w:num>
  <w:num w:numId="8" w16cid:durableId="1938904998">
    <w:abstractNumId w:val="3"/>
  </w:num>
  <w:num w:numId="9" w16cid:durableId="1273434629">
    <w:abstractNumId w:val="9"/>
  </w:num>
  <w:num w:numId="10" w16cid:durableId="553545500">
    <w:abstractNumId w:val="5"/>
  </w:num>
  <w:num w:numId="11" w16cid:durableId="169056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8B"/>
    <w:rsid w:val="001341A3"/>
    <w:rsid w:val="001F7823"/>
    <w:rsid w:val="002B0619"/>
    <w:rsid w:val="002F6A9E"/>
    <w:rsid w:val="00311D98"/>
    <w:rsid w:val="00321A8D"/>
    <w:rsid w:val="0035767D"/>
    <w:rsid w:val="003D54A7"/>
    <w:rsid w:val="004D7D87"/>
    <w:rsid w:val="006E3716"/>
    <w:rsid w:val="0086258B"/>
    <w:rsid w:val="008B188B"/>
    <w:rsid w:val="008B503B"/>
    <w:rsid w:val="00C23704"/>
    <w:rsid w:val="00E27622"/>
    <w:rsid w:val="00E67CDC"/>
    <w:rsid w:val="00FA0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5B64"/>
  <w15:chartTrackingRefBased/>
  <w15:docId w15:val="{15EB83D0-B5BE-4200-84EB-B9F09869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88B"/>
    <w:pPr>
      <w:ind w:left="720"/>
      <w:contextualSpacing/>
    </w:pPr>
  </w:style>
  <w:style w:type="paragraph" w:customStyle="1" w:styleId="Pargrafo">
    <w:name w:val="Parágrafo"/>
    <w:basedOn w:val="Textoindependiente"/>
    <w:link w:val="PargrafoCar"/>
    <w:uiPriority w:val="1"/>
    <w:qFormat/>
    <w:rsid w:val="0035767D"/>
    <w:pPr>
      <w:widowControl w:val="0"/>
      <w:autoSpaceDE w:val="0"/>
      <w:autoSpaceDN w:val="0"/>
      <w:spacing w:before="120" w:after="0" w:line="276" w:lineRule="auto"/>
      <w:ind w:left="142" w:right="130"/>
      <w:jc w:val="both"/>
    </w:pPr>
    <w:rPr>
      <w:rFonts w:ascii="New Baskerville" w:eastAsia="Cambria" w:hAnsi="New Baskerville" w:cs="Cambria"/>
      <w:kern w:val="0"/>
      <w:sz w:val="21"/>
      <w:szCs w:val="21"/>
      <w14:ligatures w14:val="none"/>
    </w:rPr>
  </w:style>
  <w:style w:type="character" w:customStyle="1" w:styleId="PargrafoCar">
    <w:name w:val="Parágrafo Car"/>
    <w:basedOn w:val="Fuentedeprrafopredeter"/>
    <w:link w:val="Pargrafo"/>
    <w:uiPriority w:val="1"/>
    <w:rsid w:val="0035767D"/>
    <w:rPr>
      <w:rFonts w:ascii="New Baskerville" w:eastAsia="Cambria" w:hAnsi="New Baskerville" w:cs="Cambria"/>
      <w:kern w:val="0"/>
      <w:sz w:val="21"/>
      <w:szCs w:val="21"/>
      <w14:ligatures w14:val="none"/>
    </w:rPr>
  </w:style>
  <w:style w:type="table" w:styleId="Tablaconcuadrcula">
    <w:name w:val="Table Grid"/>
    <w:basedOn w:val="Tablanormal"/>
    <w:uiPriority w:val="39"/>
    <w:rsid w:val="0035767D"/>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5767D"/>
    <w:pPr>
      <w:spacing w:after="120"/>
    </w:pPr>
  </w:style>
  <w:style w:type="character" w:customStyle="1" w:styleId="TextoindependienteCar">
    <w:name w:val="Texto independiente Car"/>
    <w:basedOn w:val="Fuentedeprrafopredeter"/>
    <w:link w:val="Textoindependiente"/>
    <w:uiPriority w:val="99"/>
    <w:semiHidden/>
    <w:rsid w:val="0035767D"/>
  </w:style>
  <w:style w:type="paragraph" w:styleId="Textonotapie">
    <w:name w:val="footnote text"/>
    <w:basedOn w:val="Normal"/>
    <w:link w:val="TextonotapieCar"/>
    <w:uiPriority w:val="99"/>
    <w:semiHidden/>
    <w:unhideWhenUsed/>
    <w:rsid w:val="00C23704"/>
    <w:pPr>
      <w:spacing w:after="0" w:line="240" w:lineRule="auto"/>
    </w:pPr>
    <w:rPr>
      <w:rFonts w:ascii="Calibri" w:eastAsia="Calibri" w:hAnsi="Calibri" w:cs="Times New Roman"/>
      <w:kern w:val="0"/>
      <w:sz w:val="20"/>
      <w:szCs w:val="20"/>
      <w:lang w:val="gl-ES"/>
      <w14:ligatures w14:val="none"/>
    </w:rPr>
  </w:style>
  <w:style w:type="character" w:customStyle="1" w:styleId="TextonotapieCar">
    <w:name w:val="Texto nota pie Car"/>
    <w:basedOn w:val="Fuentedeprrafopredeter"/>
    <w:link w:val="Textonotapie"/>
    <w:uiPriority w:val="99"/>
    <w:semiHidden/>
    <w:rsid w:val="00C23704"/>
    <w:rPr>
      <w:rFonts w:ascii="Calibri" w:eastAsia="Calibri" w:hAnsi="Calibri" w:cs="Times New Roman"/>
      <w:kern w:val="0"/>
      <w:sz w:val="20"/>
      <w:szCs w:val="20"/>
      <w:lang w:val="gl-ES"/>
      <w14:ligatures w14:val="none"/>
    </w:rPr>
  </w:style>
  <w:style w:type="character" w:styleId="Refdenotaalpie">
    <w:name w:val="footnote reference"/>
    <w:uiPriority w:val="99"/>
    <w:semiHidden/>
    <w:unhideWhenUsed/>
    <w:rsid w:val="00C23704"/>
    <w:rPr>
      <w:vertAlign w:val="superscript"/>
    </w:rPr>
  </w:style>
  <w:style w:type="character" w:styleId="Hipervnculo">
    <w:name w:val="Hyperlink"/>
    <w:basedOn w:val="Fuentedeprrafopredeter"/>
    <w:uiPriority w:val="99"/>
    <w:unhideWhenUsed/>
    <w:rsid w:val="004D7D87"/>
    <w:rPr>
      <w:color w:val="0563C1" w:themeColor="hyperlink"/>
      <w:u w:val="single"/>
    </w:rPr>
  </w:style>
  <w:style w:type="character" w:styleId="Mencinsinresolver">
    <w:name w:val="Unresolved Mention"/>
    <w:basedOn w:val="Fuentedeprrafopredeter"/>
    <w:uiPriority w:val="99"/>
    <w:semiHidden/>
    <w:unhideWhenUsed/>
    <w:rsid w:val="004D7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epd.es/es/derechos-y-deberes/cumple-tus-deberes/medidas-de-cumplimiento/transferencias-internacion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3477</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Elvira Morais Fontenla</dc:creator>
  <cp:keywords/>
  <dc:description/>
  <cp:lastModifiedBy>Rosa Dominica Cano Viñas</cp:lastModifiedBy>
  <cp:revision>3</cp:revision>
  <dcterms:created xsi:type="dcterms:W3CDTF">2023-04-27T13:36:00Z</dcterms:created>
  <dcterms:modified xsi:type="dcterms:W3CDTF">2024-01-31T08:45:00Z</dcterms:modified>
</cp:coreProperties>
</file>